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ZOMBOR BEREZVAI</w:t>
            </w:r>
          </w:p>
          <w:p w:rsidR="00C275A3" w:rsidRDefault="00A96AEC" w:rsidP="00C275A3">
            <w:pPr>
              <w:pStyle w:val="Hallgatokepzes"/>
            </w:pPr>
            <w:r>
              <w:t>Economic Analysis</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Bakucs</w:t>
            </w:r>
          </w:p>
          <w:p w:rsidR="00DB4822" w:rsidRDefault="00DB4822" w:rsidP="00E11062">
            <w:pPr>
              <w:pStyle w:val="Konzulensek"/>
            </w:pPr>
            <w:r w:rsidRPr="00DB4822">
              <w:t>senior research fellow,  Institute of Economics, Centre for Economic and Regional Studies of the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Efficiency Analysis of the Hungarian Meat Processing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technical efficiency; stochastic frontier; Hungarian meat processing industry</w:t>
      </w:r>
      <w:r>
        <w:t xml:space="preserve"/>
      </w:r>
    </w:p>
    <w:p>
      <w:pPr>
        <w:widowControl w:val="on"/>
        <w:pBdr/>
        <w:spacing w:before="240" w:after="240" w:line="240" w:lineRule="auto"/>
        <w:ind w:left="0" w:right="0"/>
        <w:jc w:val="left"/>
      </w:pPr>
      <w:r>
        <w:rPr>
          <w:color w:val="000000"/>
          <w:sz w:val="24"/>
          <w:szCs w:val="24"/>
        </w:rPr>
        <w:t xml:space="preserve">This paper analyzes the performance of the Hungarian meat processing industry between 2011 and 2013 when many high-capacity meat processors went bankrupt. One possible reason for the same could be unfavorable market situation or inefficiency in production. In this paper, the latter hypothesis is examined. Two different types of production function estimation techniques are used to calculate firm-specific inefficiency estimates. Firm-level data collected by the National Tax and Customs Administration of Hungary is used for analyses purposes. Based on the estimation results, the lower bound of average firm-level efficiency is 0.33, while the upper bound is 0.67. Our results suggest that there is some scope for improvement. Results are similar to Spanish and Greek research studies on average production efficiency.</w:t>
      </w:r>
    </w:p>
    <w:p>
      <w:pPr>
        <w:widowControl w:val="on"/>
        <w:pBdr/>
        <w:spacing w:before="240" w:after="240" w:line="240" w:lineRule="auto"/>
        <w:ind w:left="0" w:right="0"/>
        <w:jc w:val="left"/>
      </w:pPr>
      <w:r>
        <w:rPr>
          <w:color w:val="000000"/>
          <w:sz w:val="24"/>
          <w:szCs w:val="24"/>
        </w:rPr>
        <w:t xml:space="preserve">Estimated firm-level inefficiencies are compared to the characteristics of the given firms. Higher pre-tax profit and higher headcount number is associated with lesser inefficiency (i.e. there is a positive correlation between efficiency and profitability). Domestic or foreign ownership does not significantly affect inefficiency rates.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47117">
    <w:multiLevelType w:val="hybridMultilevel"/>
    <w:lvl w:ilvl="0" w:tplc="17694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47117">
    <w:abstractNumId w:val="978471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2035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