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BOZA</w:t>
            </w:r>
          </w:p>
          <w:p w:rsidR="00C275A3" w:rsidRDefault="00A96AEC" w:rsidP="00C275A3">
            <w:pPr>
              <w:pStyle w:val="Hallgatokepzes"/>
            </w:pPr>
            <w:r>
              <w:t>Economic Analysis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Adrienn Selei</w:t>
            </w:r>
          </w:p>
          <w:p w:rsidR="00DB4822" w:rsidRDefault="00DB4822" w:rsidP="00BA6BAF">
            <w:pPr>
              <w:pStyle w:val="Konzulensektitulus"/>
            </w:pPr>
            <w:r w:rsidRPr="00DB4822">
              <w:t>junior research fellow,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Agent-based Simulation Analysis of a Modification of the Tourist-Trap Model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Tourist-Trap Model; Agent-based Simulation; Diamond-paradox; welfare implications; Informational structure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study is to present the theoretical model of the tourist-trap phenomeon - also called the Diamond paradox -, and to place it in an agent based simulational environment. Futhermore to show the price-rising tendencies in the simulational model, and also present some situations in which the market can not deviate from the competitive equilibrium. The study gives three such situations:</w:t>
      </w:r>
      <w:r>
        <w:rPr>
          <w:color w:val="000000"/>
          <w:sz w:val="24"/>
          <w:szCs w:val="24"/>
        </w:rPr>
        <w:br/>
        <w:t xml:space="preserve">i) the information of the tourists about the mean market price is noisy</w:t>
      </w:r>
      <w:r>
        <w:rPr>
          <w:color w:val="000000"/>
          <w:sz w:val="24"/>
          <w:szCs w:val="24"/>
        </w:rPr>
        <w:br/>
        <w:t xml:space="preserve">ii) even a small number of 'well-informed' consumers (who face no search costs) if the consumer/producer ratio is high</w:t>
      </w:r>
      <w:r>
        <w:rPr>
          <w:color w:val="000000"/>
          <w:sz w:val="24"/>
          <w:szCs w:val="24"/>
        </w:rPr>
        <w:br/>
        <w:t xml:space="preserve">iii) spatial structure, where some of the shops becomes unvisited at equal prices</w:t>
      </w:r>
      <w:r>
        <w:rPr>
          <w:color w:val="000000"/>
          <w:sz w:val="24"/>
          <w:szCs w:val="24"/>
        </w:rPr>
        <w:br/>
        <w:t xml:space="preserve">Situation i) and ii) can resolve the paradox depending on the assumptions of producer conduct.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theoretical and simulational model differs mainly in the informational structure. In the latter producers do not know each others prices. The Diamond paradox holds even with this stronger assumption.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74459">
    <w:multiLevelType w:val="hybridMultilevel"/>
    <w:lvl w:ilvl="0" w:tplc="37530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74459">
    <w:abstractNumId w:val="295744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460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