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BENCE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Iliás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Kacskovics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neonatális Fc receptor (FcRn) IgG kötésének, és a humorális immunválasz diverzitásának vizsgálata bFcRn transzgenikus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heterodimer neonatális Fc receptor (FcRn) szerkezetileg az MHC-I-szerű molekulák családjába tartozik, amely az FcRn α láncból és egy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52095060" name="name155190ff06fbe9" descr="imgtmp_36532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6532_hu_1.gif"/>
                    <pic:cNvPicPr/>
                  </pic:nvPicPr>
                  <pic:blipFill>
                    <a:blip r:embed="rId155190ff06fb8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-mikroglobulin fehérjéből épül fel. Központi szerepet tölt be a maternális immuntranszportban, megakadályozza az IgG és az albumin lebomlását, és ez által szabályozza e két kulcsfontosságú molekula homeosztázisát, valamint részt vesz az antigén-IgG immunkomplex antigén-prezentációjában. Az ELTE Immunológiai Tanszék FcRn munkacsoportja olyan transzgenikus (Tg) egerek immunválaszát kutatja, amelyek az endogén egér FcRn mellett, további 5 kópia szarvasmarha FcRn (bFcRn) α láncot fejeznek ki. A bFcRn α lánc képes funkcionálisan működő molekulát kialakítani az egér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41986395" name="name155190ff073381" descr="imgtmp_36532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6532_hu_2.gif"/>
                    <pic:cNvPicPr/>
                  </pic:nvPicPr>
                  <pic:blipFill>
                    <a:blip r:embed="rId155190ff07331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-mikroglobulinnal, így ezekben az állatokban az ún. „hibrid” FcRn is kifejeződik. Ezen egereknek számos előnyös tulajdonságát írták már le, így megnőtt bennük az IgG fél-élet ideje, gyengén immunogén antigénekkel szemben is sikerült ellenanyagot termelniük, több antigén-specifikus IgG-t termelnek, valamint lépük és nyirokcsomóik lényegesen több antigén specifikus B- és T helper-sejtet tartalmaznak.</w:t>
      </w:r>
      <w:r>
        <w:rPr>
          <w:color w:val="000000"/>
          <w:sz w:val="24"/>
          <w:szCs w:val="24"/>
        </w:rPr>
        <w:br/>
        <w:t xml:space="preserve">Munkám során egyfelől a transzgenikus egerekben kifejeződő egér, illetve az ún. „hibrid” FcRn és a különböző egér IgG izotípusok kölcsönhatásának in vitro vizsgálatát végeztem el felületi plazmon rezonancia (SPR) módszerrel. Ennek során meghatároztam a pH függő IgG kötés kinetikai paramétereit. Kimutattam, hogy az egér és a hibrid FcRn nagyon hasonló kinetikai paraméterek mellett köti az egér IgG izotípusait.</w:t>
      </w:r>
      <w:r>
        <w:rPr>
          <w:color w:val="000000"/>
          <w:sz w:val="24"/>
          <w:szCs w:val="24"/>
        </w:rPr>
        <w:br/>
        <w:t xml:space="preserve">Mivel a bFcRn transzgenikus egerekben fokozott immunválasz figyelhető meg, kíváncsiak voltunk arra, hogyan befolyásolja ez a humorális immundiverzitást. Vizsgálataim másik részében ezt a kérdést Western blot technikával elemezve kimutattam, hogy a transzgenikus egerekben egy nagyméretű antigén (KLH) ellen termelődött IgG típusú ellenanyagok a KLH fehérjében több epitópot ismernek fel, mint a vad típusú egerekből származó antitestek. Ezáltal sikerült alátámasztanunk azt a feltételezést, hogy a bFcRn transzgenikus egerekben termelődött antitesteknek nagyobb a diverzitása, amelynek következménye, hogy ezek az állatok egy kevésbé immunogén epitóp ellen is hatékonyabban termelnek ellenanyagot, mint vad típusú társaik.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18479">
    <w:multiLevelType w:val="hybridMultilevel"/>
    <w:lvl w:ilvl="0" w:tplc="56988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18479">
    <w:abstractNumId w:val="22718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76826" Type="http://schemas.openxmlformats.org/officeDocument/2006/relationships/numbering" Target="numbering.xml"/><Relationship Id="rId155190ff06fb8c" Type="http://schemas.openxmlformats.org/officeDocument/2006/relationships/image" Target="media/imgrId155190ff06fb8c.gif"/><Relationship Id="rId155190ff07331e" Type="http://schemas.openxmlformats.org/officeDocument/2006/relationships/image" Target="media/imgrId155190ff07331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