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SZIKORA</w:t>
            </w:r>
          </w:p>
          <w:p w:rsidR="00C275A3" w:rsidRDefault="00A96AEC" w:rsidP="00C275A3">
            <w:pPr>
              <w:pStyle w:val="Hallgatokepzes"/>
            </w:pPr>
            <w:r>
              <w:t>Biology</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Iliás</w:t>
            </w:r>
          </w:p>
          <w:p w:rsidR="00DB4822" w:rsidRDefault="00DB4822" w:rsidP="00E11062">
            <w:pPr>
              <w:pStyle w:val="Konzulensek"/>
            </w:pPr>
            <w:r w:rsidRPr="00DB4822">
              <w:t>senior research fellow, ELTE TTK</w:t>
            </w:r>
          </w:p>
        </w:tc>
      </w:tr>
      <w:tr w:rsidR="00DB4822" w:rsidTr="00DB4822">
        <w:tc>
          <w:tcPr>
            <w:tcW w:w="9854" w:type="dxa"/>
          </w:tcPr>
          <w:p w:rsidR="00DB4822" w:rsidRPr="00DB4822" w:rsidRDefault="00DB4822" w:rsidP="004D7940">
            <w:pPr>
              <w:pStyle w:val="Konzulensek"/>
            </w:pPr>
            <w:r w:rsidRPr="00DB4822">
              <w:t>Imre Kacskovics</w:t>
            </w:r>
          </w:p>
          <w:p w:rsidR="00DB4822" w:rsidRDefault="00DB4822" w:rsidP="00E11062">
            <w:pPr>
              <w:pStyle w:val="Konzulensek"/>
            </w:pPr>
            <w:r w:rsidRPr="00DB4822">
              <w:t>associate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IgG binding of neonatal Fc receptor (FcRn) and the diversity of humoral immune response in the bFcRn transgenic mice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heterodimer neonatal Fc receptor (FcRn) is composed of an FcRn α-chain and a </w:t>
      </w:r>
      <w:r>
        <w:rPr>
          <w:color w:val="000000"/>
          <w:position w:val="-3"/>
          <w:sz w:val="24"/>
          <w:szCs w:val="24"/>
        </w:rPr>
        <w:drawing>
          <wp:inline distT="0" distB="0" distL="0" distR="0">
            <wp:extent cx="115200" cy="136800"/>
            <wp:docPr id="30905539" name="name154ad201425f2c" descr="imgtmp_36532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36532_int_1.gif"/>
                    <pic:cNvPicPr/>
                  </pic:nvPicPr>
                  <pic:blipFill>
                    <a:blip r:embed="rId154ad201425ed3" cstate="print"/>
                    <a:stretch>
                      <a:fillRect/>
                    </a:stretch>
                  </pic:blipFill>
                  <pic:spPr>
                    <a:xfrm>
                      <a:off x="0" y="0"/>
                      <a:ext cx="115200" cy="136800"/>
                    </a:xfrm>
                    <a:prstGeom prst="rect">
                      <a:avLst/>
                    </a:prstGeom>
                    <a:ln w="0">
                      <a:noFill/>
                    </a:ln>
                  </pic:spPr>
                </pic:pic>
              </a:graphicData>
            </a:graphic>
          </wp:inline>
        </w:drawing>
      </w:r>
      <w:r>
        <w:rPr>
          <w:color w:val="000000"/>
          <w:position w:val="-4"/>
          <w:sz w:val="21"/>
          <w:szCs w:val="21"/>
          <w:vertAlign w:val="subscript"/>
        </w:rPr>
        <w:t xml:space="preserve">2</w:t>
      </w:r>
      <w:r>
        <w:rPr>
          <w:color w:val="000000"/>
          <w:sz w:val="24"/>
          <w:szCs w:val="24"/>
        </w:rPr>
        <w:t xml:space="preserve">-microglobulin protein, and structurally belongs to the family of MHC class I-like molecules. It has a central role in the maternal immune transport, regulates IgG and albumin homeostasis and plays major roles in antigen presentation of antigen-IgG immune complexes. The FcRn research group at the Department of Immunology, Eötvös Loránd University studies transgenic mice overexpressing 5 copies of bovine FcRn (bFcRn) α-chain. The bFcRn α-chain is able to form a functionally active receptor with the endogenous mouse </w:t>
      </w:r>
      <w:r>
        <w:rPr>
          <w:color w:val="000000"/>
          <w:position w:val="-3"/>
          <w:sz w:val="24"/>
          <w:szCs w:val="24"/>
        </w:rPr>
        <w:drawing>
          <wp:inline distT="0" distB="0" distL="0" distR="0">
            <wp:extent cx="115200" cy="136800"/>
            <wp:docPr id="8723703" name="name154ad201426da3" descr="imgtmp_36532_int_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36532_int_2.gif"/>
                    <pic:cNvPicPr/>
                  </pic:nvPicPr>
                  <pic:blipFill>
                    <a:blip r:embed="rId154ad201426d36" cstate="print"/>
                    <a:stretch>
                      <a:fillRect/>
                    </a:stretch>
                  </pic:blipFill>
                  <pic:spPr>
                    <a:xfrm>
                      <a:off x="0" y="0"/>
                      <a:ext cx="115200" cy="136800"/>
                    </a:xfrm>
                    <a:prstGeom prst="rect">
                      <a:avLst/>
                    </a:prstGeom>
                    <a:ln w="0">
                      <a:noFill/>
                    </a:ln>
                  </pic:spPr>
                </pic:pic>
              </a:graphicData>
            </a:graphic>
          </wp:inline>
        </w:drawing>
      </w:r>
      <w:r>
        <w:rPr>
          <w:color w:val="000000"/>
          <w:position w:val="-4"/>
          <w:sz w:val="21"/>
          <w:szCs w:val="21"/>
          <w:vertAlign w:val="subscript"/>
        </w:rPr>
        <w:t xml:space="preserve">2</w:t>
      </w:r>
      <w:r>
        <w:rPr>
          <w:color w:val="000000"/>
          <w:sz w:val="24"/>
          <w:szCs w:val="24"/>
        </w:rPr>
        <w:t xml:space="preserve">-microglobulin protein, therefore both the mouse FcRn and the so-called „hybrid” FcRn are expressed and functional in these transgenic animals. These transgenic mice show augmented humoral immune response with higher circulating antigen-specific IgGs, ability to generate antibodies against weakly immunogenic antigens, and develop many more antigen-specific B- and T helper cells in their spleens and lymph nodes.</w:t>
      </w:r>
      <w:r>
        <w:rPr>
          <w:color w:val="000000"/>
          <w:sz w:val="24"/>
          <w:szCs w:val="24"/>
        </w:rPr>
        <w:br/>
        <w:t xml:space="preserve">In the frame of my studies, I analyzed the interactions of different mouse IgG isotypes with the hybrid and the mouse FcRn molecules by surface plasmon resonance (SPR) technique determining the kinetic parameters of their pH dependent IgG binding. I demonstrated, that the hybrid and the mouse FcRn bind mouse IgG isotypes with very similar kinetic parameters.</w:t>
      </w:r>
      <w:r>
        <w:rPr>
          <w:color w:val="000000"/>
          <w:sz w:val="24"/>
          <w:szCs w:val="24"/>
        </w:rPr>
        <w:br/>
        <w:t xml:space="preserve">In the second part of my research, I studied the diversity of the humoral immune response of the bFcRn transgenic mice. Our Western blot analysis revealed that KLH-specific antibodies from TNP-KLH immunized bFcRn transgenic mice recognize more KLH epitope than that of the wild-type mice. This observation confirms the hypothesis that antibodies from bFcRn transgenic mice have greater diversity demonstrating that these animals can generate antibodies against weakly immunogenic antigens more effectively than their wild-type controls.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671034">
    <w:multiLevelType w:val="hybridMultilevel"/>
    <w:lvl w:ilvl="0" w:tplc="384659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671034">
    <w:abstractNumId w:val="346710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260558" Type="http://schemas.openxmlformats.org/officeDocument/2006/relationships/numbering" Target="numbering.xml"/><Relationship Id="rId154ad201425ed3" Type="http://schemas.openxmlformats.org/officeDocument/2006/relationships/image" Target="media/imgrId154ad201425ed3.gif"/><Relationship Id="rId154ad201426d36" Type="http://schemas.openxmlformats.org/officeDocument/2006/relationships/image" Target="media/imgrId154ad201426d36.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