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FELDE</w:t>
            </w:r>
          </w:p>
          <w:p w:rsidR="00C275A3" w:rsidRDefault="00A96AEC" w:rsidP="00C275A3">
            <w:pPr>
              <w:pStyle w:val="Hallgatokepzes"/>
            </w:pPr>
            <w:r>
              <w:t>Biology</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Rudnóy</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SMM on salttolerance in maise (Zea mays 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Maize (Zea mays L.) is one of our most important crop plants. It is used not only as a food source but also for biofuel production, among others. However, its yield falls short of expectations worldwide due to different abiotic and biotic stressors including salt stress, which is of growing interest. Salt stress inhibits plants’ development and decreases their growing and yield. Since S-methylmethionine (SMM) has been successfully applied for alleviation the symptoms of abiotic plant stress, the question was raised whether SMM could increase the stress tolerance of maize against salt stress, too?</w:t>
      </w:r>
      <w:r>
        <w:rPr>
          <w:color w:val="000000"/>
          <w:sz w:val="24"/>
          <w:szCs w:val="24"/>
        </w:rPr>
        <w:br/>
        <w:t xml:space="preserve">Aiming to answer this question, I studied the state of the photochemical system, the activity of three important antioxidant enzymes and the expression of antioxidant enzyme genes of salt-stressed and control young maize plants, either SMM-pretreated or not. Chlorophyll a fluorescence induction was used for determining the photosynthesis efficacy, while photometric measurements and qRT-PCR experiments were applied for monitoring the activity and the gene expression of some important antioxidant enzymes, respectively.</w:t>
      </w:r>
      <w:r>
        <w:rPr>
          <w:color w:val="000000"/>
          <w:sz w:val="24"/>
          <w:szCs w:val="24"/>
        </w:rPr>
        <w:br/>
        <w:t xml:space="preserve">According to my results, photosynthesis was positively affected by SMM only under a longer and strong salt stress, as significant increase was found in the SMM-pretreated plants’ values in this condition. Salt stress and SMM-treatments were followed by activity increase of APX and GPX enzymes in a longer time course. GR activity was initially increased by SMM but later all treatments, including stronger and weaker salt stress, caused a drop in the activity of GR enzyme, contrasting to the control.</w:t>
      </w:r>
      <w:r>
        <w:rPr>
          <w:color w:val="000000"/>
          <w:sz w:val="24"/>
          <w:szCs w:val="24"/>
        </w:rPr>
        <w:br/>
        <w:t xml:space="preserve">The results of the gene expressions were more or less the same to the results of the enzyme activity in more points.</w:t>
      </w:r>
      <w:r>
        <w:rPr>
          <w:color w:val="000000"/>
          <w:sz w:val="24"/>
          <w:szCs w:val="24"/>
        </w:rPr>
        <w:br/>
        <w:t xml:space="preserve">According to my results, SMM could increase the activity of some peroxidase enzymes and also could save the photosynthetic apparatus during a long and strong salt stress, what are crucial points in the antioxidant and general defence of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74196">
    <w:multiLevelType w:val="hybridMultilevel"/>
    <w:lvl w:ilvl="0" w:tplc="57492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74196">
    <w:abstractNumId w:val="77474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311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