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KINGA</w:t>
            </w:r>
          </w:p>
          <w:p w:rsidR="00C275A3" w:rsidRDefault="00A96AEC" w:rsidP="00C275A3">
            <w:pPr>
              <w:pStyle w:val="Hallgatokepzes"/>
            </w:pPr>
            <w:r>
              <w:t>Biológus</w:t>
            </w:r>
            <w:r>
              <w:br/>
            </w:r>
            <w:r w:rsidR="00E77B23">
              <w:t>MSc, 3.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Gócza Elen</w:t>
            </w:r>
          </w:p>
          <w:p w:rsidR="00DB4822" w:rsidRDefault="00DB4822" w:rsidP="009763E0">
            <w:pPr>
              <w:pStyle w:val="Konzulensektitulus"/>
            </w:pPr>
            <w:r w:rsidRPr="00DB4822">
              <w:t>tudományos tanácsadó,  NAIK, Mezőgazdasági Biotechnológiai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Nyúl miRNS-ek azonosítása és expressziójának vizsgálata különböző korú embriókban és őssejtekben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miRNS-ek olyan, ~22 nt hosszú, egyszálú RNS-ek, melyek alapvető szabályozó funkciók érzékeny beállításában vesznek részt. Szerepüket a gének poszttranszkripcionális módosítása révén fejtik ki úgy, hogy az mRNS 3’ UTR-jéhez kötődve a transzlációt gátolják, vagy az mRNS degradációját okozzák. Fontos szerepük van a pluripotencia fenntartásában, és a differenciálódás megindításában.</w:t>
      </w:r>
      <w:r>
        <w:rPr>
          <w:color w:val="000000"/>
          <w:sz w:val="24"/>
          <w:szCs w:val="24"/>
        </w:rPr>
        <w:br/>
        <w:t xml:space="preserve">Célunk olyan nyúl embrionális őssejt vonal alapítása, amelyből célzott genetikai módosítást hordozó ivarsejt kiméra nyulak hozhatóak létre. Ehhez szeretnénk feltérképezni, hogy milyen miRNS-ek fordulnak elő a különböző korú nyúl embriókban és őssejtekben, és hogy ezeknek milyen szerepe lehet az embriófejlődésben, majd ennek megfelelően milyen módosításokra lenne szükség az őssejtek pluripotens állapotának fenntartásához.</w:t>
      </w:r>
      <w:r>
        <w:rPr>
          <w:color w:val="000000"/>
          <w:sz w:val="24"/>
          <w:szCs w:val="24"/>
        </w:rPr>
        <w:br/>
        <w:t xml:space="preserve">Mivel nyúl esetében vizsgálataink megkezdésekor még nem közöltek miRNS szekvenciákat, első lépésként SOLID technológiával megszekvenáltattunk különböző nyúl mintákat. Az így kapott szekvenciák között kerestem már ismert egér, humán és szarvasmarha miRNS-ek homológjait.</w:t>
      </w:r>
      <w:r>
        <w:rPr>
          <w:color w:val="000000"/>
          <w:sz w:val="24"/>
          <w:szCs w:val="24"/>
        </w:rPr>
        <w:br/>
        <w:t xml:space="preserve">1693 új szekvenciát sikerült így azonosítani, melyek közül három, más fajokban őssejt specifikusnak leírt klaszter tagjait, és néhány differenciálódási markert választottam ki a további analízisre.</w:t>
      </w:r>
      <w:r>
        <w:rPr>
          <w:color w:val="000000"/>
          <w:sz w:val="24"/>
          <w:szCs w:val="24"/>
        </w:rPr>
        <w:br/>
        <w:t xml:space="preserve">Összehasonlítottam különböző RNS izolálási technikákat az RNS tisztasága és intaktsága alapján, és teszteltem azt a hipotézist, miszerint a SOLID szekvenálás génexpresszió becslésre is alkalmas.</w:t>
      </w:r>
      <w:r>
        <w:rPr>
          <w:color w:val="000000"/>
          <w:sz w:val="24"/>
          <w:szCs w:val="24"/>
        </w:rPr>
        <w:br/>
        <w:t xml:space="preserve">Meghatároztam a vizsgált miRNS-ek elhelyezkedését a genomban, és meghatároztam a nyúlban azonosítható klasztereket. Ezt követően real-time PCR analízist alkalmazva vizsgáltam a miRNS-ek expresszióját először hat mintában, majd a 6 napos embrióban, és annak különböző csíralemezeiben is. Megállapítottam, hogy az ocu-miR-290 és az ocu-miR-302 klaszter őssejt-specifikus, az ocu-miR-17-92 klaszter esetében viszont nem találtam szövet specificitást. A PG sejtek, a vártnak megfelelően, az ES sejtekhez hasonlítanak, míg az iPS sejtekben a pluripotencia markerek esetében magasabb expressziót találtam.</w:t>
      </w:r>
      <w:r>
        <w:rPr>
          <w:color w:val="000000"/>
          <w:sz w:val="24"/>
          <w:szCs w:val="24"/>
        </w:rPr>
        <w:br/>
        <w:t xml:space="preserve">Kimutattam, hogy az iPS sejtek inkább az ES sejtekre hasonlítanak, mintsem a létrehozásukkor használt fibroblasztra, mely egyértelműen jelzi a visszaprogramozás sikerességét.</w:t>
      </w:r>
      <w:r>
        <w:rPr>
          <w:color w:val="000000"/>
          <w:sz w:val="24"/>
          <w:szCs w:val="24"/>
        </w:rPr>
        <w:br/>
        <w:t xml:space="preserve">Végül a miR-191 és a miR-302 miRNS-ek kifejeződését in situ hibridizációval is igazoltam a 6 napos embrióban. Megállapítottam, hogy a miR-302a a real-time PCR-rel mért adatokkal összhangban, az embrioblasztban erősebben fejeződik ki, mint a trofoblasztban.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65841">
    <w:multiLevelType w:val="hybridMultilevel"/>
    <w:lvl w:ilvl="0" w:tplc="568076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65841">
    <w:abstractNumId w:val="702658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13482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