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NÉMETH</w:t>
            </w:r>
          </w:p>
          <w:p w:rsidR="00C275A3" w:rsidRDefault="00A96AEC" w:rsidP="00C275A3">
            <w:pPr>
              <w:pStyle w:val="Hallgatokepzes"/>
            </w:pPr>
            <w:r>
              <w:t>Biology</w:t>
            </w:r>
            <w:r>
              <w:br/>
            </w:r>
            <w:r w:rsidR="00E77B23">
              <w:t>MSc, 3.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Elen Gócza</w:t>
            </w:r>
          </w:p>
          <w:p w:rsidR="00DB4822" w:rsidRDefault="00DB4822" w:rsidP="009763E0">
            <w:pPr>
              <w:pStyle w:val="Konzulensektitulus"/>
            </w:pPr>
            <w:r w:rsidRPr="00DB4822">
              <w:t>senior researcher,  NARIC, Agricultural Biotechnology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and examination the expression of rabbit miRNAs in different stages of rabbit embryos and embryonic stem cells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MiRNAs are ~22nt long, non-coding RNAs, which have important regulatory role in several fundamental biological processes by posttranscriptional targeting the 3’ UTR of mRNAs causing translational repression or the degradation of the mRNA. They are very important in maintenance of the pluripotency and promoting cell differentiation.</w:t>
      </w:r>
      <w:r>
        <w:rPr>
          <w:color w:val="000000"/>
          <w:sz w:val="24"/>
          <w:szCs w:val="24"/>
        </w:rPr>
        <w:br/>
        <w:t xml:space="preserve">Our aim is to establish a real embryonic stem cell line from rabbit, to obtain germline chimaeras. With this goal we started to investigate which miRNAs can be found in different developmental stages of rabbit embryos and in stem-like cells. It would be important to understand their role in embryo development and to know which kind of modifications would be necessary to maintain the pluripotency of the stem-like cells.</w:t>
      </w:r>
      <w:r>
        <w:rPr>
          <w:color w:val="000000"/>
          <w:sz w:val="24"/>
          <w:szCs w:val="24"/>
        </w:rPr>
        <w:br/>
        <w:t xml:space="preserve">Because of no published rabbit miRNA sequences was available at the beginning of our study, samples derived from different stages of rabbit embryos and stem cells were sequenced by using SOLID platform. The results were checked for new rabbit miRNA sequences according to known human, mouse and bovine miRNAs.</w:t>
      </w:r>
      <w:r>
        <w:rPr>
          <w:color w:val="000000"/>
          <w:sz w:val="24"/>
          <w:szCs w:val="24"/>
        </w:rPr>
        <w:br/>
        <w:t xml:space="preserve">1693 new rabbit sequences were identified. From these sequences three clusters were chosen to further analysis, known to be stem-cell specific in mouse and human, and some extra miRNA known to have important role in early differentiation. I compared two different methods to RNA isolation based on RNA purity and integrity. I tested the hypothesis whether the read numbers getting by SOLiD sequencing are suitable for predicting the gene expression level.</w:t>
      </w:r>
      <w:r>
        <w:rPr>
          <w:color w:val="000000"/>
          <w:sz w:val="24"/>
          <w:szCs w:val="24"/>
        </w:rPr>
        <w:br/>
        <w:t xml:space="preserve">I identified where these miRNAs are localised in the rabbit genome, and clarified the structures of these clusters. Then I measured the expression of these miRNAs first in 6 samples by real-time PCR, and then in 6 day embryo, epiblast, hypoblast and trophoblast cells, too. I found that the ocu-miR-290 and ocu-miR-302 clusters are stem cell specific, but no specificity were found regarding the ocu-miR-17-92 cluster. Not surprisingly, PGCs are really similar to ESCs, while iPSCs express the pluripotency markers at a very high level.</w:t>
      </w:r>
      <w:r>
        <w:rPr>
          <w:color w:val="000000"/>
          <w:sz w:val="24"/>
          <w:szCs w:val="24"/>
        </w:rPr>
        <w:br/>
        <w:t xml:space="preserve">I proved that iPSCs are more similar to ESCs than to rabbit fibroblast, which is the origin of these induced pluripotent cells. This clearly shows the success of the reprogramming.</w:t>
      </w:r>
      <w:r>
        <w:rPr>
          <w:color w:val="000000"/>
          <w:sz w:val="24"/>
          <w:szCs w:val="24"/>
        </w:rPr>
        <w:br/>
        <w:t xml:space="preserve">At last, I examined the expression of the miR-191 and miR-302 miRNAs in 6-day embryo by in situ hybridization. I found that the miR-302 show higher expression in embryoblast than in trophoblast, which is consistent with our real-time PCR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96445">
    <w:multiLevelType w:val="hybridMultilevel"/>
    <w:lvl w:ilvl="0" w:tplc="20826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96445">
    <w:abstractNumId w:val="316964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172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