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SZURÓCZKI</w:t>
            </w:r>
          </w:p>
          <w:p w:rsidR="00C275A3" w:rsidRDefault="00A96AEC" w:rsidP="00C275A3">
            <w:pPr>
              <w:pStyle w:val="Hallgatokepzes"/>
            </w:pPr>
            <w:r>
              <w:t>Biology</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Erika Tóth</w:t>
            </w:r>
          </w:p>
          <w:p w:rsidR="00DB4822" w:rsidRDefault="00DB4822" w:rsidP="009763E0">
            <w:pPr>
              <w:pStyle w:val="Konzulensektitulus"/>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Characterisation of bacterial communities in a thermal bath in Budapest with cultivation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Thermal baths are water environments combining a wide variety of natural and anthropogenic ecological factors, which appears also in their microbiological characteristics. So far in Hungary there have been only a few researches that studied the whole bacterial diversity of the well, none of them studied the whole bacterial diversity of the pool water of thermal baths yet. In the present study the microbial community of the well and pool water in Gellért bath was studied with conventional and special cultivation methods in detail. 10% R2A and minimal synthetic media (with „bath water”) with agar-agar and gelrite were used to isolate bacteria. Strains were indentified by sequencing their 16S rRNA gene after grouping them by ARDRA.</w:t>
      </w:r>
      <w:r>
        <w:rPr>
          <w:color w:val="000000"/>
          <w:sz w:val="24"/>
          <w:szCs w:val="24"/>
        </w:rPr>
        <w:br/>
        <w:t xml:space="preserve">Because of the anthropogenic effect, the quantity of cultivable bacteria was at least 10 fold higher in the pool as compared to the well. The largest quantity of cultivable bacteria was on the 10% R2A and minimal synthetic media with gelrite. There were different microbial community in the well and in the pool water, but on each applied media and from each sample the dominance of Alphaproteobacteria was characteristic. The largest groups in the pool water belonged to the Tistrella and Chelatococcus genera. The dominant member in the well water belonged to a new taxon, its similarity to Hartmannibacter diazotrophicus as closest relative was 93,93%.</w:t>
      </w:r>
      <w:r>
        <w:rPr>
          <w:color w:val="000000"/>
          <w:sz w:val="24"/>
          <w:szCs w:val="24"/>
        </w:rPr>
        <w:br/>
        <w:t xml:space="preserve">From each sample novel species could be isolated: Nocardioides daphniae, Mycoplana dimorpha, Hartmannibacter diazotrophicus, and Brevundimonas vesicularis based on their 16S rDNA sequence. In order to cultivate novel taxa the best method was the combined use of minimal synthetic media, special cultivating techniques and increased incubation time. It is important to note that in case of studying a bacterial diversity with cultivation-dependent methods it is necessary to use a wide range of cultivation media and techniques, and to mimic the natural enviroment of bacteria.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10135">
    <w:multiLevelType w:val="hybridMultilevel"/>
    <w:lvl w:ilvl="0" w:tplc="57270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10135">
    <w:abstractNumId w:val="76110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999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