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BARTH</w:t>
            </w:r>
          </w:p>
          <w:p w:rsidR="00C275A3" w:rsidRDefault="00A96AEC" w:rsidP="00C275A3">
            <w:pPr>
              <w:pStyle w:val="Hallgatokepzes"/>
            </w:pPr>
            <w:r>
              <w:t>Nurse</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Health</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Kiss PhD</w:t>
            </w:r>
          </w:p>
          <w:p w:rsidR="00DB4822" w:rsidRDefault="00DB4822" w:rsidP="009763E0">
            <w:pPr>
              <w:pStyle w:val="Konzulensektitulus"/>
            </w:pPr>
            <w:r w:rsidRPr="00DB4822">
              <w:t>associate professor ,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international research about the psychological wellbeing and the relationship between the determinants of wellbeing among students in higher education institution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study is a more accurate characterization and identification of students with mental health factors, which could help to improve mental health in the context of higher education. The research was conducted at the University of Debrecen, the Partium Christian University and the State University of Oradea among students. Research methodology as the standard questionnaire study was chosen. The questionnaire examined the demographic data, the depression, anxiety and stress (DASS-21), the psychological wellbeing (Ryff-18) and the conflict management strategies (TKI). Two questionnaires (DASS-21, Ryff-18) are under validation in Hungary. The processing and analysis was performed by a mathematical-statistical method using SPSS (Statistical Package for Social Science) software. The sample (N=237) consisted of 147 students from University of Debrecen and 90 students from the State University of Oradea and Partium Christian University. Result of the research showed that there is significant difference in autonomy (p=0,005) and purpose in life (p=0,018). I also found significant difference in the negative emotional states of stress (p=0,042) among students. The students from University of Debrecen reach higher stress level. Furthermore I did not found differences in the conflict management strategies. The students prefer the avoiding conflict strategy.</w:t>
      </w:r>
      <w:r>
        <w:rPr>
          <w:color w:val="000000"/>
          <w:sz w:val="24"/>
          <w:szCs w:val="24"/>
        </w:rPr>
        <w:br/>
        <w:t xml:space="preserve">Keywords: psychological wellbeing, stress, international research, higher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29591">
    <w:multiLevelType w:val="hybridMultilevel"/>
    <w:lvl w:ilvl="0" w:tplc="64951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29591">
    <w:abstractNumId w:val="52929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769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