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BARTL BIANKA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bartl.bianka96@gmail.com</w:t>
            </w:r>
            <w:r w:rsidRPr="002361E2">
              <w:rPr>
                <w:i/>
              </w:rPr>
              <w:br/>
            </w:r>
            <w:r w:rsidR="00A96AEC">
              <w:t>Környezetgazdálkodás agrármérnöki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Növénytermesztés-tudományok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Stankovics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Soós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Visegrádi Négyek környezetgazdálkodásának és fenntartható mezőgazdaságának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legfontosabb kérdésköre a környezetvédelem, valamint a fenntartható mezőgazdaság megvalósítása. Az Uniós környezetpolitikában a legnagyobb hangsúlyt az éghajlatváltozás elleni küzdelem kapja. Ezzel kapcsolatosan a dolgozat során arra kerestem a választ, hogyan alakult eddig a Visegrádi Négyek üvegházhatású gáz kibocsátása. Milyen hasonlóságok és milyen különbségek jelentek meg az országok ÜHG kibocsátásai között?</w:t>
      </w:r>
      <w:r>
        <w:rPr>
          <w:color w:val="000000"/>
          <w:sz w:val="24"/>
          <w:szCs w:val="24"/>
        </w:rPr>
        <w:br/>
        <w:t xml:space="preserve">A tanulmány során bemutatásra kerül a Visegrádi Négyek éghajlatváltozás elleni küzdelemmel kapcsolatos kötelezettségeik és vállalásaik. Elemzés alá vontam a hosszú idősoros környezeti – és agrár-környezeti adatokat, ahol az országok üvegházhatású gázok kibocsátásait vizsgáltam. A területi különbségek kiaknázására hektáronkénti adatokkal számoltam. Statisztikai számítások segítségével hasonlítottam össze a tagországokat, mint átlag, szórás, relatív szórás, t-próba.</w:t>
      </w:r>
      <w:r>
        <w:rPr>
          <w:color w:val="000000"/>
          <w:sz w:val="24"/>
          <w:szCs w:val="24"/>
        </w:rPr>
        <w:br/>
        <w:t xml:space="preserve">Eredményeim alapján elmondható, hogy a Visegrádi Négyek klímaváltozás megfékezésével kapcsolatos vállalásaik a következő időszakra (2021-2030) az Unió általi minimum követelményeknek felelnek. A vizsgált időintervallumban az adatok alapján elmondható, hogy az egész gazdaság általi üvegházhatású gázok kibocsátásának tekintetében minimális csökkenés és stagnálás volt a jellemző Lengyelország kivételével. A primer szektor általi ÜHG kibocsátás esetében pedig minimális növekedést figyelhettem meg minden ország tekintetében. A legnagyobb kibocsátó minden vizsgált anyag esetében Csehország bizonyult. Míg a legalacsonyabb kibocsátási értékeket Magyarország esetében figyelhettem meg. A kibocsátások variabilitása jelentős, legnagyobb változékonyságot Magyarország esetében tapasztaltam. Emellett a legtöbb esetben a kibocsátási értékek alakulása között Magyarország és Szlovákia, valamint Csehország és Lengyelország párosítások esetében nem találtam szignifikáns eltérést. Az elemzéseket összességében értékelve, Magyarország tart leginkább a zöldülés irányába, míg Lengyelország a legkevésbé.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38772">
    <w:multiLevelType w:val="hybridMultilevel"/>
    <w:lvl w:ilvl="0" w:tplc="26685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38772">
    <w:abstractNumId w:val="953387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3394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