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STRACK FRANK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strackfrank1@gmail.com</w:t>
            </w:r>
            <w:r w:rsidRPr="002361E2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Neumanné Dr. Virág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BREXIT lehetséges hatásainak vizsgálata a kereskedelem és a költségvetés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elsődleges célja, hogy fényt derítsen az Egyesült Királyság kilépésével bekövetkező</w:t>
      </w:r>
      <w:r>
        <w:rPr>
          <w:color w:val="000000"/>
          <w:sz w:val="24"/>
          <w:szCs w:val="24"/>
        </w:rPr>
        <w:br/>
        <w:t xml:space="preserve">gazdasági, pénzügyi, illetve kereskedelmi változásokra az Európai Unióban. Két főbb terület</w:t>
      </w:r>
      <w:r>
        <w:rPr>
          <w:color w:val="000000"/>
          <w:sz w:val="24"/>
          <w:szCs w:val="24"/>
        </w:rPr>
        <w:br/>
        <w:t xml:space="preserve">bemutatására kerül sor. Az egyik terület a Brexitet követő gazdasági, pénzügyi helyzet elemzése,</w:t>
      </w:r>
      <w:r>
        <w:rPr>
          <w:color w:val="000000"/>
          <w:sz w:val="24"/>
          <w:szCs w:val="24"/>
        </w:rPr>
        <w:br/>
        <w:t xml:space="preserve">az Európai Unió közös költségvetésében várhatóan bekövetkező változások bemutatása. Fontos</w:t>
      </w:r>
      <w:r>
        <w:rPr>
          <w:color w:val="000000"/>
          <w:sz w:val="24"/>
          <w:szCs w:val="24"/>
        </w:rPr>
        <w:br/>
        <w:t xml:space="preserve">tényező az Unió közös költségvetésébe való befizetés mértékének meghatározása, az Európai</w:t>
      </w:r>
      <w:r>
        <w:rPr>
          <w:color w:val="000000"/>
          <w:sz w:val="24"/>
          <w:szCs w:val="24"/>
        </w:rPr>
        <w:br/>
        <w:t xml:space="preserve">Uniótól származó támogatások vizsgálata, illetve ezen két adat alapján a nettó egyenleg</w:t>
      </w:r>
      <w:r>
        <w:rPr>
          <w:color w:val="000000"/>
          <w:sz w:val="24"/>
          <w:szCs w:val="24"/>
        </w:rPr>
        <w:br/>
        <w:t xml:space="preserve">meghatározása országonként. Az Európai Bizottság minden évben közzéteszi, hogy egyes</w:t>
      </w:r>
      <w:r>
        <w:rPr>
          <w:color w:val="000000"/>
          <w:sz w:val="24"/>
          <w:szCs w:val="24"/>
        </w:rPr>
        <w:br/>
        <w:t xml:space="preserve">országok mekkora összeggel járultak hozzá a közös költségvetéshez az adott időszakban. A 2014</w:t>
      </w:r>
      <w:r>
        <w:rPr>
          <w:color w:val="000000"/>
          <w:sz w:val="24"/>
          <w:szCs w:val="24"/>
        </w:rPr>
        <w:br/>
        <w:t xml:space="preserve">és 2019 közötti időszak adatainak elemzését követően pontos képet kaphatunk arról, hogy az</w:t>
      </w:r>
      <w:r>
        <w:rPr>
          <w:color w:val="000000"/>
          <w:sz w:val="24"/>
          <w:szCs w:val="24"/>
        </w:rPr>
        <w:br/>
        <w:t xml:space="preserve">Egyesült Királyság, mint az egyik legnagyobb befizető állam kiesése, mekkora pénzügyi hiányt</w:t>
      </w:r>
      <w:r>
        <w:rPr>
          <w:color w:val="000000"/>
          <w:sz w:val="24"/>
          <w:szCs w:val="24"/>
        </w:rPr>
        <w:br/>
        <w:t xml:space="preserve">eredményezhet az Európai Unió, illetve a tagországok számára. A második terület a kereskedelem</w:t>
      </w:r>
      <w:r>
        <w:rPr>
          <w:color w:val="000000"/>
          <w:sz w:val="24"/>
          <w:szCs w:val="24"/>
        </w:rPr>
        <w:br/>
        <w:t xml:space="preserve">vizsgálata a két fél között. Az Eurostat, illetve a brit Nemzetközi Statisztikai Iroda adatai alapján</w:t>
      </w:r>
      <w:r>
        <w:rPr>
          <w:color w:val="000000"/>
          <w:sz w:val="24"/>
          <w:szCs w:val="24"/>
        </w:rPr>
        <w:br/>
        <w:t xml:space="preserve">elemzésre kerül, hogy a teljes Európai Uniós exportból, importból, az Unión belül, illetve kívül</w:t>
      </w:r>
      <w:r>
        <w:rPr>
          <w:color w:val="000000"/>
          <w:sz w:val="24"/>
          <w:szCs w:val="24"/>
        </w:rPr>
        <w:br/>
        <w:t xml:space="preserve">mekkora részt vállalt az Egyesült Királyság. A brit Nemzetközi Statisztikai Iroda adatai alapján</w:t>
      </w:r>
      <w:r>
        <w:rPr>
          <w:color w:val="000000"/>
          <w:sz w:val="24"/>
          <w:szCs w:val="24"/>
        </w:rPr>
        <w:br/>
        <w:t xml:space="preserve">további vizsgálatra kerül a font árfolyamának változása a Brexitet követően, a brit export</w:t>
      </w:r>
      <w:r>
        <w:rPr>
          <w:color w:val="000000"/>
          <w:sz w:val="24"/>
          <w:szCs w:val="24"/>
        </w:rPr>
        <w:br/>
        <w:t xml:space="preserve">mértékének alakulása az Európai Uniós tagállamok felé, és ezen két tényező kapcsolata. A nettó</w:t>
      </w:r>
      <w:r>
        <w:rPr>
          <w:color w:val="000000"/>
          <w:sz w:val="24"/>
          <w:szCs w:val="24"/>
        </w:rPr>
        <w:br/>
        <w:t xml:space="preserve">közvetlen külföldi befektetések segítségével elemzésre kerül, hogy az Európai Uniós tagság</w:t>
      </w:r>
      <w:r>
        <w:rPr>
          <w:color w:val="000000"/>
          <w:sz w:val="24"/>
          <w:szCs w:val="24"/>
        </w:rPr>
        <w:br/>
        <w:t xml:space="preserve">megléte a befektetések szempontjából kedvezően, vagy negatívan hatott a 2004-ben csatlakozott</w:t>
      </w:r>
      <w:r>
        <w:rPr>
          <w:color w:val="000000"/>
          <w:sz w:val="24"/>
          <w:szCs w:val="24"/>
        </w:rPr>
        <w:br/>
        <w:t xml:space="preserve">országok egy részére, ezáltal következtetést vonhatunk le afelől, hogy az Egyesült Királyságot a</w:t>
      </w:r>
      <w:r>
        <w:rPr>
          <w:color w:val="000000"/>
          <w:sz w:val="24"/>
          <w:szCs w:val="24"/>
        </w:rPr>
        <w:br/>
        <w:t xml:space="preserve">jövőben hogyan érintheti a kilépés.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11864">
    <w:multiLevelType w:val="hybridMultilevel"/>
    <w:lvl w:ilvl="0" w:tplc="96467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11864">
    <w:abstractNumId w:val="45811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118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