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FRANK STRACK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strackfrank1@gmail.com</w:t>
            </w:r>
            <w:r w:rsidRPr="002361E2">
              <w:rPr>
                <w:i/>
              </w:rPr>
              <w:br/>
            </w:r>
            <w:r w:rsidR="00A96AEC">
              <w:t>Economist in International Economy and Business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Virág Ildikó Neumanné 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Assessing the potential impact of BREXIT on trade and the budget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primary aim of the research is to shed light on the economic, financial and trade changes in</w:t>
      </w:r>
      <w:r>
        <w:rPr>
          <w:color w:val="000000"/>
          <w:sz w:val="24"/>
          <w:szCs w:val="24"/>
        </w:rPr>
        <w:br/>
        <w:t xml:space="preserve">the European Union that will occur after the UK's exit. Two main areas will be presented: one is</w:t>
      </w:r>
      <w:r>
        <w:rPr>
          <w:color w:val="000000"/>
          <w:sz w:val="24"/>
          <w:szCs w:val="24"/>
        </w:rPr>
        <w:br/>
        <w:t xml:space="preserve">an analysis of the economic and financial situation after Brexit, and the other is a description of the</w:t>
      </w:r>
      <w:r>
        <w:rPr>
          <w:color w:val="000000"/>
          <w:sz w:val="24"/>
          <w:szCs w:val="24"/>
        </w:rPr>
        <w:br/>
        <w:t xml:space="preserve">expected changes in the EU's common budget. An important factor is the determination of the level</w:t>
      </w:r>
      <w:r>
        <w:rPr>
          <w:color w:val="000000"/>
          <w:sz w:val="24"/>
          <w:szCs w:val="24"/>
        </w:rPr>
        <w:br/>
        <w:t xml:space="preserve">of contributions to the EU's common budget, the analysis of subsidies from the European Union</w:t>
      </w:r>
      <w:r>
        <w:rPr>
          <w:color w:val="000000"/>
          <w:sz w:val="24"/>
          <w:szCs w:val="24"/>
        </w:rPr>
        <w:br/>
        <w:t xml:space="preserve">and the determination of the net balance by country on the basis of these two figures. Each year,</w:t>
      </w:r>
      <w:r>
        <w:rPr>
          <w:color w:val="000000"/>
          <w:sz w:val="24"/>
          <w:szCs w:val="24"/>
        </w:rPr>
        <w:br/>
        <w:t xml:space="preserve">the European Commission publishes the amount each country has contributed to the common</w:t>
      </w:r>
      <w:r>
        <w:rPr>
          <w:color w:val="000000"/>
          <w:sz w:val="24"/>
          <w:szCs w:val="24"/>
        </w:rPr>
        <w:br/>
        <w:t xml:space="preserve">budget over the period. By analysing the data for the period 2014-2019, we can get an accurate</w:t>
      </w:r>
      <w:r>
        <w:rPr>
          <w:color w:val="000000"/>
          <w:sz w:val="24"/>
          <w:szCs w:val="24"/>
        </w:rPr>
        <w:br/>
        <w:t xml:space="preserve">picture of the financial deficit that the United Kingdom, as one of the largest contributors, could</w:t>
      </w:r>
      <w:r>
        <w:rPr>
          <w:color w:val="000000"/>
          <w:sz w:val="24"/>
          <w:szCs w:val="24"/>
        </w:rPr>
        <w:br/>
        <w:t xml:space="preserve">leave the European Union and its Member States with. The second area is the analysis of trade</w:t>
      </w:r>
      <w:r>
        <w:rPr>
          <w:color w:val="000000"/>
          <w:sz w:val="24"/>
          <w:szCs w:val="24"/>
        </w:rPr>
        <w:br/>
        <w:t xml:space="preserve">between the two parties. Using data from Eurostat and the UK's International Bureau of Statistics,</w:t>
      </w:r>
      <w:r>
        <w:rPr>
          <w:color w:val="000000"/>
          <w:sz w:val="24"/>
          <w:szCs w:val="24"/>
        </w:rPr>
        <w:br/>
        <w:t xml:space="preserve">the UK's share of total EU exports and imports, both within and outside the EU, is analysed. Using</w:t>
      </w:r>
      <w:r>
        <w:rPr>
          <w:color w:val="000000"/>
          <w:sz w:val="24"/>
          <w:szCs w:val="24"/>
        </w:rPr>
        <w:br/>
        <w:t xml:space="preserve">data from the UK's International Bureau of Statistics, the change in the exchange rate of the pound</w:t>
      </w:r>
      <w:r>
        <w:rPr>
          <w:color w:val="000000"/>
          <w:sz w:val="24"/>
          <w:szCs w:val="24"/>
        </w:rPr>
        <w:br/>
        <w:t xml:space="preserve">following Brexit, the evolution of the UK's export levels to EU Member States and the relationship</w:t>
      </w:r>
      <w:r>
        <w:rPr>
          <w:color w:val="000000"/>
          <w:sz w:val="24"/>
          <w:szCs w:val="24"/>
        </w:rPr>
        <w:br/>
        <w:t xml:space="preserve">between these two factors are further examined. Net foreign direct investment is used to analyse</w:t>
      </w:r>
      <w:r>
        <w:rPr>
          <w:color w:val="000000"/>
          <w:sz w:val="24"/>
          <w:szCs w:val="24"/>
        </w:rPr>
        <w:br/>
        <w:t xml:space="preserve">whether the existence of EU membership has had a positive or negative impact on investment for</w:t>
      </w:r>
      <w:r>
        <w:rPr>
          <w:color w:val="000000"/>
          <w:sz w:val="24"/>
          <w:szCs w:val="24"/>
        </w:rPr>
        <w:br/>
        <w:t xml:space="preserve">some of the countries that joined in 2004, and thus to draw conclusions about how the UK might</w:t>
      </w:r>
      <w:r>
        <w:rPr>
          <w:color w:val="000000"/>
          <w:sz w:val="24"/>
          <w:szCs w:val="24"/>
        </w:rPr>
        <w:br/>
        <w:t xml:space="preserve">be affected by exit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86839">
    <w:multiLevelType w:val="hybridMultilevel"/>
    <w:lvl w:ilvl="0" w:tplc="59033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86839">
    <w:abstractNumId w:val="69086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039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