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PELESKEI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peleskeizsofia@gmail.com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Homolya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1-C-szubsztituált glikál származékok itterbium-triflát katalizált brómazidálási reakcióinak a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Lewis-sav katalízis; ritkaföldfém-triflátok; glikál; difunkcionalizálás; azid-alkin klikk 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Lewis-sav katalízis széleskörűen alkalmazott módszer a szintetikus szerves kémiában, mivel enyhe körülmények között is hatékonyan és szelektíven használható. A ritkaföldfém-triflátok katalizátorként történő alkalmazása számos kedvezőbb felhasználási feltételt tesz lehetővé a klasszikus Lewis-savakkal szemben.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Nagymértékű elterjedtségüket mutatja, hogy szén-szén és szén-heteroatom kötések kialakítására (például az aldol-,</w:t>
      </w:r>
      <w:r>
        <w:rPr>
          <w:color w:val="000000"/>
          <w:position w:val="4"/>
          <w:sz w:val="21"/>
          <w:szCs w:val="21"/>
          <w:vertAlign w:val="superscript"/>
        </w:rPr>
        <w:t xml:space="preserve">2-3</w:t>
      </w:r>
      <w:r>
        <w:rPr>
          <w:color w:val="000000"/>
          <w:sz w:val="24"/>
          <w:szCs w:val="24"/>
        </w:rPr>
        <w:t xml:space="preserve"> a Mannich reakció,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Friedel – Crafts acilezés és alkilezés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), olefinek funkcionalizálására,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heterociklusok szintézisére,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vagy akár szénhidrátok glikozilezésében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 is hatékonyan alkalmazhatók.</w:t>
      </w:r>
      <w:r>
        <w:rPr>
          <w:color w:val="000000"/>
          <w:sz w:val="24"/>
          <w:szCs w:val="24"/>
        </w:rPr>
        <w:br/>
        <w:t xml:space="preserve">A szénhidrátok egy szűk csoportját alkotják a glikálok, melyek olyan telítetlen szénhidrát származékok, amelyekben kettős kötés található a C-1 és C-2 atomok között. A glikálokon belül beszélhetünk úgynevezett 1-C-szubsztituált glikálokról, amelyekben a C-1 atomhoz szénatomon keresztül kapcsolódik valamilyen szubsztituens, például CN, COOMe vagy CONH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csoportok. Ezen vegyületek előállítása a kutatócsoportunk által kidolgozott módszer alapjánanhidro-aldonsavakból és (ulozilbromid)onsavak származékaiból kiindulva történik.</w:t>
      </w:r>
      <w:r>
        <w:rPr>
          <w:color w:val="000000"/>
          <w:position w:val="4"/>
          <w:sz w:val="21"/>
          <w:szCs w:val="21"/>
          <w:vertAlign w:val="superscript"/>
        </w:rPr>
        <w:t xml:space="preserve">6-8</w:t>
      </w:r>
      <w:r>
        <w:rPr>
          <w:color w:val="000000"/>
          <w:sz w:val="24"/>
          <w:szCs w:val="24"/>
        </w:rPr>
        <w:br/>
        <w:t xml:space="preserve">Kutatómunkánk során tanulmányoztuk az 1-C-szubsztituált glikálok itterbium-triflát katalizált brómazidálási reakcióját, és vizsgáltuk, hogy a cukor konfigurációjának, az alkalmazott védőcsoportnak, és az anomer centrumon található elektronszívó szubsztituensnek milyen hatása van a reakció regio- és sztereoszelektivitására. Ezen kívül kísérletet végeztünk az előállított brómazidokban található azido csoport azid-alkin klikk reakcióban történő továbbalakítására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Kobayashi, S.; Sugiura, M.; Kitagawa H.; Lam, W. W. L. Chem. Rev. 2002, 102, 2227-2302.</w:t>
      </w:r>
      <w:r>
        <w:rPr>
          <w:color w:val="000000"/>
          <w:sz w:val="24"/>
          <w:szCs w:val="24"/>
        </w:rPr>
        <w:br/>
        <w:t xml:space="preserve">2. Smith, M. B.; March, J. Advanced Organic Chemistry (5th ed.), 2001, New York: Wiley Interscience. ISBN: 978-047158589-3, pp. 1218–23.</w:t>
      </w:r>
      <w:r>
        <w:rPr>
          <w:color w:val="000000"/>
          <w:sz w:val="24"/>
          <w:szCs w:val="24"/>
        </w:rPr>
        <w:br/>
        <w:t xml:space="preserve">3. Luo, S.; Zhu, L.; Talukdar, A.; Zhang, G.; Mi, X.; Cheng, J. P.; Wang, G. P. Mini Rev. Org. Chem., 2005, 2, 177-202.</w:t>
      </w:r>
      <w:r>
        <w:rPr>
          <w:color w:val="000000"/>
          <w:sz w:val="24"/>
          <w:szCs w:val="24"/>
        </w:rPr>
        <w:br/>
        <w:t xml:space="preserve">4. Hajra, S.; Sinha, D.; Bhowmick, M. J. Org. Chem. 2007, 72, 1852-1855.</w:t>
      </w:r>
      <w:r>
        <w:rPr>
          <w:color w:val="000000"/>
          <w:sz w:val="24"/>
          <w:szCs w:val="24"/>
        </w:rPr>
        <w:br/>
        <w:t xml:space="preserve">5. Demchenko, A. V. General Aspects of the Glycosidic Bond Formation in Handbook of Chemical Glycosylation, 2008, Wiley-VCH, ISBN: 978-3-527-31780-6, pp. 1-27.</w:t>
      </w:r>
      <w:r>
        <w:rPr>
          <w:color w:val="000000"/>
          <w:sz w:val="24"/>
          <w:szCs w:val="24"/>
        </w:rPr>
        <w:br/>
        <w:t xml:space="preserve">6. Mahmoud, S. H.; Somsák, L.; Farkas, I. Carbohydr. Res., 1994, 254, 91-104.</w:t>
      </w:r>
      <w:r>
        <w:rPr>
          <w:color w:val="000000"/>
          <w:sz w:val="24"/>
          <w:szCs w:val="24"/>
        </w:rPr>
        <w:br/>
        <w:t xml:space="preserve">7. Somsák, L. Carbohydr. Res., 1989, 195, C1-C2.</w:t>
      </w:r>
      <w:r>
        <w:rPr>
          <w:color w:val="000000"/>
          <w:sz w:val="24"/>
          <w:szCs w:val="24"/>
        </w:rPr>
        <w:br/>
        <w:t xml:space="preserve">8. Kiss, L.; Somsák, L. Carbohydr. Res. 1996, 291, 43-52.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87489">
    <w:multiLevelType w:val="hybridMultilevel"/>
    <w:lvl w:ilvl="0" w:tplc="29857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87489">
    <w:abstractNumId w:val="870874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001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