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IVETT BARTA</w:t>
            </w:r>
          </w:p>
          <w:p w:rsidR="00C275A3" w:rsidRDefault="00186641" w:rsidP="00C275A3">
            <w:pPr>
              <w:pStyle w:val="Hallgatokepzes"/>
            </w:pPr>
            <w:r w:rsidRPr="002361E2">
              <w:rPr>
                <w:i/>
              </w:rPr>
              <w:t>bartaivett05@gmail.com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Alexandra Szekeres</w:t>
            </w:r>
          </w:p>
          <w:p w:rsidR="00DB4822" w:rsidRDefault="00DB4822" w:rsidP="009763E0">
            <w:pPr>
              <w:pStyle w:val="Konzulensektitulus"/>
            </w:pPr>
            <w:r w:rsidRPr="00DB4822">
              <w:t>assistant lecturer, DE GTK</w:t>
            </w:r>
          </w:p>
        </w:tc>
      </w:tr>
      <w:tr w:rsidR="00DB4822" w:rsidTr="00DB4822">
        <w:tc>
          <w:tcPr>
            <w:tcW w:w="9854" w:type="dxa"/>
          </w:tcPr>
          <w:p w:rsidR="00DB4822" w:rsidRPr="00DB4822" w:rsidRDefault="00DB4822" w:rsidP="009763E0">
            <w:pPr>
              <w:pStyle w:val="Konzulenseknev"/>
            </w:pPr>
            <w:r w:rsidRPr="00DB4822">
              <w:t>Dr. Gergő Tömöri</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Estimation of brand value utilizing the examples of two enterprises operating in an international accounting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Brands are becoming more and more important for enterprises that spend significant amounts for building strong ones. Howewer, the value of brands and the way it should be represented in financial reports is still controversial.</w:t>
      </w:r>
      <w:r>
        <w:rPr>
          <w:color w:val="000000"/>
          <w:sz w:val="24"/>
          <w:szCs w:val="24"/>
        </w:rPr>
        <w:br/>
        <w:t xml:space="preserve">My general objective is to present a calculation method able to estimate brand value that I establish for the calculation method of Interbrand corporation and results of my own survey research. My specific objective in the course of analysis is to determine Daimler AG Mercedes-Benz’s and Nestlé cereal’s brand value. Furthermore, I introduce the opportunities of how brand values can be presented in financial reports, primarily in IFRS reports.</w:t>
      </w:r>
      <w:r>
        <w:rPr>
          <w:color w:val="000000"/>
          <w:sz w:val="24"/>
          <w:szCs w:val="24"/>
        </w:rPr>
        <w:br/>
        <w:t xml:space="preserve">First of all, I calculated the so-called Economic Value of researched enterprises by analysing their financial reports, using Gordon Growth Model. Applying the results from my survey research I determined the role of brand plays in gaining Economic Value, this amount is Brand Revenue. Finally I calculated a ratio using Weighted Average Cost of Capital (WACC) which I discounted the Brand Revenue with I obtained the demanded Brand Value.</w:t>
      </w:r>
      <w:r>
        <w:rPr>
          <w:color w:val="000000"/>
          <w:sz w:val="24"/>
          <w:szCs w:val="24"/>
        </w:rPr>
        <w:br/>
        <w:t xml:space="preserve">My servey research is assembled according to Keller’s Brand Equity Model. Therefore, I observed brand value through brand knowledge, so the questions analysed brand awareness and brand image. During my research I set up three hypothesises which are the following ones: people filling the survey consider brand to be a more important purchasing aspect in case of Mercedes-Benz than Nestlé cereals; purchasing Nestlé cereals respondents consider brand as the most important purchasing aspect out of the given list; respondents choose analysed brands contra unknown ones which has the same features and price.</w:t>
      </w:r>
      <w:r>
        <w:rPr>
          <w:color w:val="000000"/>
          <w:sz w:val="24"/>
          <w:szCs w:val="24"/>
        </w:rPr>
        <w:br/>
        <w:t xml:space="preserve">Final results show that Mercedes-Benz and Nestlé cereals have strong brand knowledge and can be shown in financial reports in case of acquisition.</w:t>
      </w:r>
      <w:r>
        <w:rPr>
          <w:color w:val="000000"/>
          <w:sz w:val="24"/>
          <w:szCs w:val="24"/>
        </w:rPr>
        <w:br/>
        <w:t xml:space="preserve">My research can be used widely, mostly because of the topic’s timeliness and practical advantages.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37918">
    <w:multiLevelType w:val="hybridMultilevel"/>
    <w:lvl w:ilvl="0" w:tplc="88606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37918">
    <w:abstractNumId w:val="36637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126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