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MÓNIKA PAPP-RICHTER</w:t>
            </w:r>
          </w:p>
          <w:p w:rsidR="00C275A3" w:rsidRDefault="00186641" w:rsidP="00C275A3">
            <w:pPr>
              <w:pStyle w:val="Hallgatokepzes"/>
            </w:pPr>
            <w:r w:rsidRPr="002361E2">
              <w:rPr>
                <w:i/>
              </w:rPr>
              <w:t>richtermonii@gmail.com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Andrea Karcagi-Kováts</w:t>
            </w:r>
          </w:p>
          <w:p w:rsidR="00DB4822" w:rsidRDefault="00DB4822" w:rsidP="009763E0">
            <w:pPr>
              <w:pStyle w:val="Konzulensektitulus"/>
            </w:pPr>
            <w:r w:rsidRPr="00DB4822">
              <w:t>associate professor, DE GTK</w:t>
            </w:r>
          </w:p>
        </w:tc>
      </w:tr>
      <w:tr w:rsidR="00DB4822" w:rsidTr="00DB4822">
        <w:tc>
          <w:tcPr>
            <w:tcW w:w="9854" w:type="dxa"/>
          </w:tcPr>
          <w:p w:rsidR="00DB4822" w:rsidRPr="00DB4822" w:rsidRDefault="00DB4822" w:rsidP="009763E0">
            <w:pPr>
              <w:pStyle w:val="Konzulenseknev"/>
            </w:pPr>
            <w:r w:rsidRPr="00DB4822">
              <w:t>Orsolya Szendrey</w:t>
            </w:r>
          </w:p>
          <w:p w:rsidR="00DB4822" w:rsidRDefault="00DB4822" w:rsidP="009763E0">
            <w:pPr>
              <w:pStyle w:val="Konzulensektitulus"/>
            </w:pPr>
            <w:r w:rsidRPr="00DB4822">
              <w:t>external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Sense or sensibility – Rationality in marriage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motivates people to get married? How do public subsidies and family policies change attitudes? Do sense and sensibility complement or contradict each other in our choices? Can marriage be bought? In my research, I sought to answer similar questions, focusing on people's attitudes towards marriage and public support, and the financial and economic awareness that these can bring.</w:t>
      </w:r>
      <w:r>
        <w:rPr>
          <w:color w:val="000000"/>
          <w:sz w:val="24"/>
          <w:szCs w:val="24"/>
        </w:rPr>
        <w:br/>
        <w:t xml:space="preserve">I began my review of the literature by defining the basic economic concepts, and then I presented models of marriage from behavioural economics. I also described in detail domestic family support instruments and marriage trends.</w:t>
      </w:r>
      <w:r>
        <w:rPr>
          <w:color w:val="000000"/>
          <w:sz w:val="24"/>
          <w:szCs w:val="24"/>
        </w:rPr>
        <w:br/>
        <w:t xml:space="preserve">The aim of my thesis was to present the figures, but also to get to know people's opinions, their decision-making methods and some of the reasons for their behaviour. A questionnaire survey proved to be an appropriate method for this exploration, with 209 evaluable responses.</w:t>
      </w:r>
      <w:r>
        <w:rPr>
          <w:color w:val="000000"/>
          <w:sz w:val="24"/>
          <w:szCs w:val="24"/>
        </w:rPr>
        <w:br/>
        <w:t xml:space="preserve">In the first phase of my research, I looked at what motivates people to upgrade a relationship to marriage and observed what exactly marriage means to them. I drew up a Maslow's pyramid of needs, defined by the opportunity cost of marriage, which was then broken down into two stages: those factors that people would give up in exchange for marriage and those that they would not.</w:t>
      </w:r>
      <w:r>
        <w:rPr>
          <w:color w:val="000000"/>
          <w:sz w:val="24"/>
          <w:szCs w:val="24"/>
        </w:rPr>
        <w:br/>
        <w:t xml:space="preserve">The next observation was based on the financial awareness of married people. I observed that married people who completed the questionnaire were clearly more aware than single people of their choices, whether it was to take out an allowance or to give something up. I also analysed the impact of joint bank account use, financial planning and saving on decision-making.</w:t>
      </w:r>
      <w:r>
        <w:rPr>
          <w:color w:val="000000"/>
          <w:sz w:val="24"/>
          <w:szCs w:val="24"/>
        </w:rPr>
        <w:br/>
        <w:t xml:space="preserve">I examined the views of the respondents to the questionnaire on public family allowances. Opinions were divided on these, yet similar views were expressed on the need to include them. I also subjected the subsidies to some critical criteria: do they really help couples to have more children, do they really help the target group?</w:t>
      </w:r>
      <w:r>
        <w:rPr>
          <w:color w:val="000000"/>
          <w:sz w:val="24"/>
          <w:szCs w:val="24"/>
        </w:rPr>
        <w:br/>
        <w:t xml:space="preserve">So can we love rationally? Clearly not. In our decisions we can strive for rationality, we can consider the alternatives, but we cannot always choose the optimal one if our emotions justify otherwise.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05462">
    <w:multiLevelType w:val="hybridMultilevel"/>
    <w:lvl w:ilvl="0" w:tplc="90067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05462">
    <w:abstractNumId w:val="41805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536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