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BÁLINT ROZS</w:t>
            </w:r>
          </w:p>
          <w:p w:rsidR="00C275A3" w:rsidRDefault="00186641" w:rsidP="00C275A3">
            <w:pPr>
              <w:pStyle w:val="Hallgatokepzes"/>
            </w:pPr>
            <w:r w:rsidRPr="002361E2">
              <w:rPr>
                <w:i/>
              </w:rPr>
              <w:t>rozs.balint@gmail.com</w:t>
            </w:r>
            <w:r w:rsidRPr="002361E2">
              <w:rPr>
                <w:i/>
              </w:rPr>
              <w:br/>
            </w:r>
            <w:r w:rsidR="00A96AEC">
              <w:t>Regional and Environmental Economic Studies</w:t>
            </w:r>
            <w:r w:rsidR="00A96AEC">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Olivér Hortay</w:t>
            </w:r>
          </w:p>
          <w:p w:rsidR="00DB4822" w:rsidRDefault="00DB4822" w:rsidP="009763E0">
            <w:pPr>
              <w:pStyle w:val="Konzulensektitulus"/>
            </w:pPr>
            <w:r w:rsidRPr="00DB4822">
              <w:t>senior lecturer ,  BME-Institute of Finance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the potential for green hydrogen production in the Visegrad Group and assigment of the optimal development hotspots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Hydrogen, as a promising energy carrier, is receiving increasing and prominent attention all over the world. It can be used as an industrial feedstock, fuel, or secondary energy source, and moreover it can help eliminating the negative effects of seasonal fluctuations in weather-dependent renewable energy sources. The most important feature, however, which has made it the centre of attention is that its use does not involve any harmful emissions and can also be produced from renewable energy sources. Due to its above-mentioned properties, it is excellent for decarbonising various industrial processes and economic sectors, so it can play a key role in achieving the goals set out in the Paris Climate Agreement. Hydrogen production from renewable energy sources offers particularly attractive economic and strategic opportunities for the European region, which is poor in primary energy sources.</w:t>
      </w:r>
    </w:p>
    <w:p>
      <w:pPr>
        <w:widowControl w:val="on"/>
        <w:pBdr/>
        <w:spacing w:before="240" w:after="240" w:line="240" w:lineRule="auto"/>
        <w:ind w:left="0" w:right="0"/>
        <w:jc w:val="left"/>
      </w:pPr>
      <w:r>
        <w:rPr>
          <w:color w:val="000000"/>
          <w:sz w:val="24"/>
          <w:szCs w:val="24"/>
        </w:rPr>
        <w:t xml:space="preserve">At the same time, the establishment of a well-functioning and comprehensive European hydrogen supply chain will require the creation of a high-level regional cooperation in the future. Regarding Central and Eastern Europe, the countries of the Visegrad Cooperation, through their political, economic and diplomatic links over the last three decades, could be ideal target areas for the development of a hydrogen economy in the region.</w:t>
      </w:r>
    </w:p>
    <w:p>
      <w:pPr>
        <w:widowControl w:val="on"/>
        <w:pBdr/>
        <w:spacing w:before="240" w:after="240" w:line="240" w:lineRule="auto"/>
        <w:ind w:left="0" w:right="0"/>
        <w:jc w:val="left"/>
      </w:pPr>
      <w:r>
        <w:rPr>
          <w:color w:val="000000"/>
          <w:sz w:val="24"/>
          <w:szCs w:val="24"/>
        </w:rPr>
        <w:t xml:space="preserve">The first step in the transition to a hydrogen economy is to assess the available green hydrogen production potential based on renewable energy sources. Therefore, the main objective of my research is to estimate the potential of the annual green hydrogen production volume for the Visegrad countries (V4) and then to interpolate the data collected during the estimation using the Kriging method and display the results obtained in this way.</w:t>
      </w:r>
    </w:p>
    <w:p>
      <w:pPr>
        <w:widowControl w:val="on"/>
        <w:pBdr/>
        <w:spacing w:before="240" w:after="240" w:line="240" w:lineRule="auto"/>
        <w:ind w:left="0" w:right="0"/>
        <w:jc w:val="left"/>
      </w:pPr>
      <w:r>
        <w:rPr>
          <w:color w:val="000000"/>
          <w:sz w:val="24"/>
          <w:szCs w:val="24"/>
        </w:rPr>
        <w:t xml:space="preserve">From the point of view of the efficient allocation of development resources, it may also be decisive to consider other infrastructure and utilization components beyond the factors of production when making an investment decision. Therefore, a further aim of my research is to weight these factors with the AHP (Analytical Hierarchy Process) method and to designate the optimal development target areas at the level of the NUTS2 planning-statistical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84894">
    <w:multiLevelType w:val="hybridMultilevel"/>
    <w:lvl w:ilvl="0" w:tplc="13068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84894">
    <w:abstractNumId w:val="675848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6003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