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IPKOVICH ÁDÁM</w:t>
            </w:r>
          </w:p>
          <w:p w:rsidR="00C275A3" w:rsidRDefault="00186641" w:rsidP="00C275A3">
            <w:pPr>
              <w:pStyle w:val="Hallgatokepzes"/>
            </w:pPr>
            <w:r w:rsidRPr="002361E2">
              <w:rPr>
                <w:i/>
              </w:rPr>
              <w:t>wqbks2@student.uni-pannon.hu</w:t>
            </w:r>
            <w:r w:rsidRPr="002361E2">
              <w:rPr>
                <w:i/>
              </w:rPr>
              <w:br/>
            </w:r>
            <w:r w:rsidR="00A96AEC">
              <w:t>Mechatronikai mérnök</w:t>
            </w:r>
            <w:r w:rsidR="00A96AEC">
              <w:br/>
            </w:r>
            <w:r w:rsidR="00E77B23">
              <w:t>BSc, 4. félév</w:t>
            </w:r>
          </w:p>
          <w:p w:rsidR="00C265CE" w:rsidRPr="009E5FF1" w:rsidRDefault="00E77B23" w:rsidP="009763E0">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Abonyi János</w:t>
            </w:r>
          </w:p>
          <w:p w:rsidR="00DB4822" w:rsidRDefault="00DB4822" w:rsidP="009763E0">
            <w:pPr>
              <w:pStyle w:val="Konzulensektitulus"/>
            </w:pPr>
            <w:r w:rsidRPr="00DB4822">
              <w:t>egyetemi tanár,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Rangsorkülönbségek összegén alapuló döntéstámogató és adatvizualizációs módszerek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jelen tanulmány a klasszikus rangsorolási különbségek összegének (SRD) módszerének kiterjesztését javasolja, mind az alkalmazhatóság, mind a vizualizáció tekintetében.</w:t>
      </w:r>
      <w:r>
        <w:rPr>
          <w:color w:val="000000"/>
          <w:sz w:val="24"/>
          <w:szCs w:val="24"/>
        </w:rPr>
        <w:br/>
        <w:t xml:space="preserve">A mérnöki munka különböző problémái értékelést vagy döntéshozatalt igényelnek. A legjobb objektumok kiválasztása a változók számának növekedésével egyre bonyolultabbá válik. Ezek megoldására többkritériumos döntéshozatalon alapuló módszereket fejlesztettek ki, ilyen például az SRD módszer, amely a változók rangsorainak hasonlóságára és egy rangsorolt referenciára összpontosít a változók közötti kapcsolatok meghatározására.</w:t>
      </w:r>
      <w:r>
        <w:rPr>
          <w:color w:val="000000"/>
          <w:sz w:val="24"/>
          <w:szCs w:val="24"/>
        </w:rPr>
        <w:br/>
        <w:t xml:space="preserve">Az SRD algoritmus népszerűsége annak köszönhető, hogy egyszerű és könnyen érthető módszer. A szükséges referencia lehet egy kiválasztott változó vagy aggregációs függvények segítségével generálható. A módszer egyszerű: az adatok és a referencia rangsorolás utáni Manhattan-távolságát számítjuk ki. Az SRD-értékek tükrözik a változó és a referencia hasonlóságát. Az SRD érzékeny az adatok transzformációjára, és korlátozott az aggregációs függvények tekintetében. Ezért az SRD algoritmust utilitás függvények segítségével kiterjesztjük az adatok problémaspecifikus átalakítására. Az aggregációt többattribútumú hasznossági függvényekkel kezeljük, amelyek megkövetelik, hogy az utilitás függvények a függetlenségi törvényeket betartsák.</w:t>
      </w:r>
      <w:r>
        <w:rPr>
          <w:color w:val="000000"/>
          <w:sz w:val="24"/>
          <w:szCs w:val="24"/>
        </w:rPr>
        <w:br/>
        <w:t xml:space="preserve">Ezenkívül egy újszerű vizualizációs technikát vezetünk be az SRD algoritmushoz. Az SRD-értékek 1D-s rendezése képes nagyszámú változónak a referneciához való hasonlóságát ábrázolni; a kölcsönös hasonlóságok nem feltétlenül kerülnek feltárásra. Ezért a párhuzamos koordináták vizualizációs technikáját alkalmazzuk az SRD-vel, ahol a változókat y-tengelyként az SRD-értékükre helyezzük, a szomszédos változók rangsorát összekötjük. A metszéspontok mérik a korrelációt. Az SRD-értékek közötti eltérési szögeket meghatározzák, és a referenciához képest balra vagy jobbra helyezik el.</w:t>
      </w:r>
      <w:r>
        <w:rPr>
          <w:color w:val="000000"/>
          <w:sz w:val="24"/>
          <w:szCs w:val="24"/>
        </w:rPr>
        <w:br/>
        <w:t xml:space="preserve">Felhasználási esetként a kiterjesztett SRD-t az üvegházhatású gázok kibocsátására és gazdasági adatokra alkalmaztam, 147 ország és 40 változó jelenlétében. Mindkét kritériumelemzést elvégeztem, és a Derringer-féle kívánatossági függvény alapján rangsoroltam a nemzeteket. A lista élén a fosszilis tüzelőanyagokra épülő gazdasággal rendelkező, magasan fejlett országok, mint Kanada és Finnország, valamint olyan nemzetek, nevezetesen Görögország, Líbia és Dél-Afrika állnak, amelyeknél az elmúlt évtizedekben válságok léptek fel.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80804">
    <w:multiLevelType w:val="hybridMultilevel"/>
    <w:lvl w:ilvl="0" w:tplc="17452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80804">
    <w:abstractNumId w:val="11780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7624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