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SOMA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simon.somacsaba@gmail.com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NSSC 2120-as sovány duplex acél hegesztett varratainak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a fenntarthatóság, és ez nincs másképp a hajó és a tengeri</w:t>
      </w:r>
      <w:r>
        <w:rPr>
          <w:color w:val="000000"/>
          <w:sz w:val="24"/>
          <w:szCs w:val="24"/>
        </w:rPr>
        <w:br/>
        <w:t xml:space="preserve">berendezések gyártásában sem. A nemzetközi hajózásban rengeteg kihívás merül fel, nekünk</w:t>
      </w:r>
      <w:r>
        <w:rPr>
          <w:color w:val="000000"/>
          <w:sz w:val="24"/>
          <w:szCs w:val="24"/>
        </w:rPr>
        <w:br/>
        <w:t xml:space="preserve">mérnöki szemmel ezek közül kettő kifejezetten fontos a gazdasági és környezetvédelmi</w:t>
      </w:r>
      <w:r>
        <w:rPr>
          <w:color w:val="000000"/>
          <w:sz w:val="24"/>
          <w:szCs w:val="24"/>
        </w:rPr>
        <w:br/>
        <w:t xml:space="preserve">problémák.</w:t>
      </w:r>
      <w:r>
        <w:rPr>
          <w:color w:val="000000"/>
          <w:sz w:val="24"/>
          <w:szCs w:val="24"/>
        </w:rPr>
        <w:br/>
        <w:t xml:space="preserve">A hajógyártásban tradicionálisan használt acélminőségek a 304L (X2CrNi18-9) és 316-</w:t>
      </w:r>
      <w:r>
        <w:rPr>
          <w:color w:val="000000"/>
          <w:sz w:val="24"/>
          <w:szCs w:val="24"/>
        </w:rPr>
        <w:br/>
        <w:t xml:space="preserve">os (X5CrNiMo17-12-2) ausztenites acélok. Azonban a hajók gyártásakor általában több</w:t>
      </w:r>
      <w:r>
        <w:rPr>
          <w:color w:val="000000"/>
          <w:sz w:val="24"/>
          <w:szCs w:val="24"/>
        </w:rPr>
        <w:br/>
        <w:t xml:space="preserve">különböző acéltípust is alkalmaznak.  Ezek mind gazdasági</w:t>
      </w:r>
      <w:r>
        <w:rPr>
          <w:color w:val="000000"/>
          <w:sz w:val="24"/>
          <w:szCs w:val="24"/>
        </w:rPr>
        <w:br/>
        <w:t xml:space="preserve">problémák, melyek vagy növelik az építés összköltségét, vagy lassítják a hajót, ezáltal drágítva</w:t>
      </w:r>
      <w:r>
        <w:rPr>
          <w:color w:val="000000"/>
          <w:sz w:val="24"/>
          <w:szCs w:val="24"/>
        </w:rPr>
        <w:br/>
        <w:t xml:space="preserve">annak üzemeltetését. Egy másik felmerülő probléma, hogy a hajó többet fogyaszt, ami mind</w:t>
      </w:r>
      <w:r>
        <w:rPr>
          <w:color w:val="000000"/>
          <w:sz w:val="24"/>
          <w:szCs w:val="24"/>
        </w:rPr>
        <w:br/>
        <w:t xml:space="preserve">gazdasági, mind környezetvédelmi probléma.</w:t>
      </w:r>
      <w:r>
        <w:rPr>
          <w:color w:val="000000"/>
          <w:sz w:val="24"/>
          <w:szCs w:val="24"/>
        </w:rPr>
        <w:br/>
        <w:t xml:space="preserve">Ezen problémákra lehet megoldás a duplex acélok használata a hajózásban, melynek</w:t>
      </w:r>
      <w:r>
        <w:rPr>
          <w:color w:val="000000"/>
          <w:sz w:val="24"/>
          <w:szCs w:val="24"/>
        </w:rPr>
        <w:br/>
        <w:t xml:space="preserve">acélminősége csökkenti a hajók össztömegét, miközbenkorrózióállósági és mechanikai</w:t>
      </w:r>
      <w:r>
        <w:rPr>
          <w:color w:val="000000"/>
          <w:sz w:val="24"/>
          <w:szCs w:val="24"/>
        </w:rPr>
        <w:br/>
        <w:t xml:space="preserve">tulajdonságaik változatlanok maradnak. Ezen szakterület egyik jelentős újítása az NSSC 2120-</w:t>
      </w:r>
      <w:r>
        <w:rPr>
          <w:color w:val="000000"/>
          <w:sz w:val="24"/>
          <w:szCs w:val="24"/>
        </w:rPr>
        <w:br/>
        <w:t xml:space="preserve">as sovány duplex acél, mely kifejezetten tengeri alkalmazásokra lett kifejlesztve, nagy</w:t>
      </w:r>
      <w:r>
        <w:rPr>
          <w:color w:val="000000"/>
          <w:sz w:val="24"/>
          <w:szCs w:val="24"/>
        </w:rPr>
        <w:br/>
        <w:t xml:space="preserve">hőbevitelű fedettívű hegesztés alkalmazása mellett.</w:t>
      </w:r>
      <w:r>
        <w:rPr>
          <w:color w:val="000000"/>
          <w:sz w:val="24"/>
          <w:szCs w:val="24"/>
        </w:rPr>
        <w:br/>
        <w:t xml:space="preserve">A TDK-dolgozatom célja ezt az acélt megvizsgálni különféle módszerekkel, és ezen</w:t>
      </w:r>
      <w:r>
        <w:rPr>
          <w:color w:val="000000"/>
          <w:sz w:val="24"/>
          <w:szCs w:val="24"/>
        </w:rPr>
        <w:br/>
        <w:t xml:space="preserve">vizsgálatok eredményével verifikálni a gyártó állításait. A vizsgálatokhoz nagy hőbevitelű</w:t>
      </w:r>
      <w:r>
        <w:rPr>
          <w:color w:val="000000"/>
          <w:sz w:val="24"/>
          <w:szCs w:val="24"/>
        </w:rPr>
        <w:br/>
        <w:t xml:space="preserve">ívhegesztést hajtottam végre egy Yaskawa ívhegesztő robottal, két különféle huzallal, két</w:t>
      </w:r>
      <w:r>
        <w:rPr>
          <w:color w:val="000000"/>
          <w:sz w:val="24"/>
          <w:szCs w:val="24"/>
        </w:rPr>
        <w:br/>
        <w:t xml:space="preserve">különböző hegesztési beállításon. Ezt követően a varratokat daraboltam, majd mintákat</w:t>
      </w:r>
      <w:r>
        <w:rPr>
          <w:color w:val="000000"/>
          <w:sz w:val="24"/>
          <w:szCs w:val="24"/>
        </w:rPr>
        <w:br/>
        <w:t xml:space="preserve">készítettem a darabokból beágyazás, csiszolás és polírozás útján. Ezeket a mintákat végül</w:t>
      </w:r>
      <w:r>
        <w:rPr>
          <w:color w:val="000000"/>
          <w:sz w:val="24"/>
          <w:szCs w:val="24"/>
        </w:rPr>
        <w:br/>
        <w:t xml:space="preserve">különféle eljárásokkal vizsgáltam. Ilyen eljárás volt például egy ASTM A 1084 szabvány</w:t>
      </w:r>
      <w:r>
        <w:rPr>
          <w:color w:val="000000"/>
          <w:sz w:val="24"/>
          <w:szCs w:val="24"/>
        </w:rPr>
        <w:br/>
        <w:t xml:space="preserve">(Standard Test Method for Detecting Detrimental Phases in Lean Dupley Austenitic/Ferritic</w:t>
      </w:r>
      <w:r>
        <w:rPr>
          <w:color w:val="000000"/>
          <w:sz w:val="24"/>
          <w:szCs w:val="24"/>
        </w:rPr>
        <w:br/>
        <w:t xml:space="preserve">Stainless Steels) által előírt oxálsavas elektrokémiai maratás, mely a lehetséges vegyületfázisok</w:t>
      </w:r>
      <w:r>
        <w:rPr>
          <w:color w:val="000000"/>
          <w:sz w:val="24"/>
          <w:szCs w:val="24"/>
        </w:rPr>
        <w:br/>
        <w:t xml:space="preserve">kialakulását (a fázishatárok „vastagodásaként”) és nitridkiválásokat mutatja ki; vagy egy másik,</w:t>
      </w:r>
      <w:r>
        <w:rPr>
          <w:color w:val="000000"/>
          <w:sz w:val="24"/>
          <w:szCs w:val="24"/>
        </w:rPr>
        <w:br/>
        <w:t xml:space="preserve">ugyanilyen funkcióval bíró salétromsavas elektrokémiai maratás. Elvégeztem ezen felül egy</w:t>
      </w:r>
      <w:r>
        <w:rPr>
          <w:color w:val="000000"/>
          <w:sz w:val="24"/>
          <w:szCs w:val="24"/>
        </w:rPr>
        <w:br/>
        <w:t xml:space="preserve">módosított Beraha marószerrel végzett kémiai maratást, mely a fázisarány kimutatására,</w:t>
      </w:r>
      <w:r>
        <w:rPr>
          <w:color w:val="000000"/>
          <w:sz w:val="24"/>
          <w:szCs w:val="24"/>
        </w:rPr>
        <w:br/>
        <w:t xml:space="preserve">valamint az alapanyag hegeszthetőségének vizsgálatára irányult. Végső, de nem utolsósorban,</w:t>
      </w:r>
      <w:r>
        <w:rPr>
          <w:color w:val="000000"/>
          <w:sz w:val="24"/>
          <w:szCs w:val="24"/>
        </w:rPr>
        <w:br/>
        <w:t xml:space="preserve">a mintákat egy korróziós vizsgálatnak vetettem alá, mely tömegveszteségből számolja a minták</w:t>
      </w:r>
      <w:r>
        <w:rPr>
          <w:color w:val="000000"/>
          <w:sz w:val="24"/>
          <w:szCs w:val="24"/>
        </w:rPr>
        <w:br/>
        <w:t xml:space="preserve">elfogadhatóságát. Ezt a vizsgálatot is az ASTM A 1084-es szabvány alapján végeztem el.</w:t>
      </w:r>
      <w:r>
        <w:rPr>
          <w:color w:val="000000"/>
          <w:sz w:val="24"/>
          <w:szCs w:val="24"/>
        </w:rPr>
        <w:br/>
        <w:t xml:space="preserve">Eredményeimet és végkövetkeztetéseimet a vizsgálatok során készített mikroszkópi képek</w:t>
      </w:r>
      <w:r>
        <w:rPr>
          <w:color w:val="000000"/>
          <w:sz w:val="24"/>
          <w:szCs w:val="24"/>
        </w:rPr>
        <w:br/>
        <w:t xml:space="preserve">aprólékos elemzése után fogalmaztam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35438">
    <w:multiLevelType w:val="hybridMultilevel"/>
    <w:lvl w:ilvl="0" w:tplc="94977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35438">
    <w:abstractNumId w:val="32835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18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