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ÁDÁM</w:t>
            </w:r>
          </w:p>
          <w:p w:rsidR="00C275A3" w:rsidRDefault="00CA6B74" w:rsidP="00C275A3">
            <w:pPr>
              <w:pStyle w:val="Hallgatokepzes"/>
            </w:pPr>
            <w:r w:rsidRPr="001067CD">
              <w:rPr>
                <w:i/>
              </w:rPr>
              <w:t>adamhorvath399@gmail.com</w:t>
            </w:r>
            <w:r w:rsidRPr="001067CD">
              <w:rPr>
                <w:i/>
              </w:rPr>
              <w:br/>
            </w:r>
            <w:r w:rsidR="00A96AEC">
              <w:t>Vegyészmérnöki</w:t>
            </w:r>
            <w:r w:rsidR="00A96AEC">
              <w:br/>
            </w:r>
            <w:r w:rsidR="00E77B23">
              <w:t>BSc, 7. félév</w:t>
            </w:r>
          </w:p>
          <w:p w:rsidR="00C265CE" w:rsidRPr="009E5FF1" w:rsidRDefault="00E77B23" w:rsidP="00BA6BAF">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Benkő Zoltán</w:t>
            </w:r>
          </w:p>
          <w:p w:rsidR="00DB4822" w:rsidRDefault="00DB4822" w:rsidP="00BA6BAF">
            <w:pPr>
              <w:pStyle w:val="Konzulensektitulus"/>
            </w:pPr>
            <w:r w:rsidRPr="00DB4822">
              <w:t>egyetemi docens,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Anionos dienofilek Diels-Alder cikloaddícióinak elméleti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kvantumkémia, foszfaetinolát, Diels-Alder</w:t>
      </w:r>
      <w:r>
        <w:t xml:space="preserve"/>
      </w:r>
    </w:p>
    <w:p>
      <w:pPr>
        <w:widowControl w:val="on"/>
        <w:pBdr/>
        <w:spacing w:before="240" w:after="240" w:line="240" w:lineRule="auto"/>
        <w:ind w:left="0" w:right="0"/>
        <w:jc w:val="left"/>
      </w:pPr>
      <w:r>
        <w:rPr>
          <w:color w:val="000000"/>
          <w:sz w:val="24"/>
          <w:szCs w:val="24"/>
        </w:rPr>
        <w:t xml:space="preserve">A Diels-Alder (DA) cikloaddíció az egyik legismertebb cikloaddíciós reakció, amit széles körben alkalmaznak telítetlen és aromás karbo,- és heterociklusok szintézise és természetes anyagok totálszintézisei során. A Diels-Alder (DA) cikloaddícióban hagyományosan egy konjugált (1,3-) dién (dienofil) és egy olefin vesz részt. Azonban mára már számos olyan DA reakciót valósítottak meg, amiben nem olefin dienofilek, pl.: actilének, iminek, vesznek részt. Emellett megvalósítottak DA reakciót kationos dienofilek (imínium kationok) részvételével is. Az ilyen típusú reakciók mind kísérleti, mind elméleti szempontból kiterjedt irodalommal rendelkeznek. Ezekkel szemben az anionos dienofilek ilyen reakciói máig felfedezetlenek, különösen elméleti szempontból. Az egyik első anionos dienofil részvételével lejátszódó DA reakciót Grützmacher és csoportja valósította meg 2014-ben a foszfaetinolát, [OCP]</w:t>
      </w:r>
      <w:r>
        <w:rPr>
          <w:color w:val="000000"/>
          <w:position w:val="4"/>
          <w:sz w:val="21"/>
          <w:szCs w:val="21"/>
          <w:vertAlign w:val="superscript"/>
        </w:rPr>
        <w:t xml:space="preserve">–</w:t>
      </w:r>
      <w:r>
        <w:rPr>
          <w:color w:val="000000"/>
          <w:sz w:val="24"/>
          <w:szCs w:val="24"/>
        </w:rPr>
        <w:t xml:space="preserve"> anion és a 2-piranon között.</w:t>
      </w:r>
    </w:p>
    <w:p>
      <w:pPr>
        <w:widowControl w:val="on"/>
        <w:pBdr/>
        <w:spacing w:before="240" w:after="240" w:line="240" w:lineRule="auto"/>
        <w:ind w:left="0" w:right="0"/>
        <w:jc w:val="left"/>
      </w:pPr>
      <w:r>
        <w:rPr>
          <w:color w:val="000000"/>
          <w:sz w:val="24"/>
          <w:szCs w:val="24"/>
        </w:rPr>
        <w:t xml:space="preserve">Az utóbbi 5-6 évben az [OCP]</w:t>
      </w:r>
      <w:r>
        <w:rPr>
          <w:color w:val="000000"/>
          <w:position w:val="4"/>
          <w:sz w:val="21"/>
          <w:szCs w:val="21"/>
          <w:vertAlign w:val="superscript"/>
        </w:rPr>
        <w:t xml:space="preserve">–</w:t>
      </w:r>
      <w:r>
        <w:rPr>
          <w:color w:val="000000"/>
          <w:sz w:val="24"/>
          <w:szCs w:val="24"/>
        </w:rPr>
        <w:t xml:space="preserve"> anion számos, nehezebb analógját előállították, mellyel egy új, általánosan az [ECX]</w:t>
      </w:r>
      <w:r>
        <w:rPr>
          <w:color w:val="000000"/>
          <w:position w:val="4"/>
          <w:sz w:val="21"/>
          <w:szCs w:val="21"/>
          <w:vertAlign w:val="superscript"/>
        </w:rPr>
        <w:t xml:space="preserve">–</w:t>
      </w:r>
      <w:r>
        <w:rPr>
          <w:color w:val="000000"/>
          <w:sz w:val="24"/>
          <w:szCs w:val="24"/>
        </w:rPr>
        <w:t xml:space="preserve"> (E: N, P, As; X: O, S, Se) formulával jellemezhető anioncsalád született. Az [OCP]– anion cikloaddíciós tulajdonságait tekintve hasonló reaktivitás várható a nehezebb származékok esetén is.</w:t>
      </w:r>
    </w:p>
    <w:p>
      <w:pPr>
        <w:widowControl w:val="on"/>
        <w:pBdr/>
        <w:spacing w:before="240" w:after="240" w:line="240" w:lineRule="auto"/>
        <w:ind w:left="0" w:right="0"/>
        <w:jc w:val="left"/>
      </w:pPr>
      <w:r>
        <w:rPr>
          <w:color w:val="000000"/>
          <w:sz w:val="24"/>
          <w:szCs w:val="24"/>
        </w:rPr>
        <w:t xml:space="preserve">Munkám során ezen [ECX]</w:t>
      </w:r>
      <w:r>
        <w:rPr>
          <w:color w:val="000000"/>
          <w:position w:val="4"/>
          <w:sz w:val="21"/>
          <w:szCs w:val="21"/>
          <w:vertAlign w:val="superscript"/>
        </w:rPr>
        <w:t xml:space="preserve">–</w:t>
      </w:r>
      <w:r>
        <w:rPr>
          <w:color w:val="000000"/>
          <w:sz w:val="24"/>
          <w:szCs w:val="24"/>
        </w:rPr>
        <w:t xml:space="preserve"> anioncsalád 2-piranonnal szembeni DA reakcióinak a mechanizmusát és az anionok reaktivitásában megfigyelhető trendeket vizsgáltam, illetve hasonlítottam össze. Célom volt megvizsgálni az anionok elektronikus paramétereinek hatását a reakciók aktiválási gátjára; ilyen paraméterek pl.: az FMO energiák, az NPA töltések és a nukleofil Parr-függvények. Ezek mellett megvizsgáltam a DA reakciókhoz tartozó átmeneti állapotok geometriáját és a megvalósuló töltés transzfert. Referenciaképpen több, hasonlóan -C≡E egységet tartalmazó, de semleges dienofil (Me-CP, Me-CN, Me-OCN) reakcióját is megvizsgáltam. Továbbá hasonló módon megvizsgáltam a képződő termékek, a 2-pniktafenolátok és szubsztituált foszfabenzolok-, és piridinek aromásságát és stabilitását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732042">
    <w:multiLevelType w:val="hybridMultilevel"/>
    <w:lvl w:ilvl="0" w:tplc="338921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732042">
    <w:abstractNumId w:val="357320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52697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