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RÁVAI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betti.ravai08@gmail.com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Bálint 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Popovics-Tóth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doktoráns,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Foszfonát- vagy foszfin-oxid-oldalláncot tartalmazó izoindolinon- és benz[de]izokinolinon-származékok előállítása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izoindolinon, benz[de]izokinolinon, mikrohullám, in vitro citotoxicitás, antibakteriális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Kutatómunkám során célul tűztük ki új izoindolinon és benz[de]izokinolinon alapvázas vegyületek szintézisét, melyek vérnyomás- vagy gyulladáscsökkentőkben, valamint rákellenes szerekben és enziminhibitorokban is előfordulnak.</w:t>
      </w:r>
      <w:r>
        <w:rPr>
          <w:color w:val="000000"/>
          <w:sz w:val="24"/>
          <w:szCs w:val="24"/>
        </w:rPr>
        <w:br/>
        <w:t xml:space="preserve">    Korábban már kidolgoztunk egy hatékony, mikrohullámú besugárzással (MW) elősegített eljárást izoindolinon-foszfonátok előállítására, a 2-formilbenzoesav, primer aminok és dialkil-foszfitok háromkomponensű reakciójával. Jelenlegi munkám során, egyrészt célul tűztük ki a reakció mechanizmusának vizsgálatát, valamint méretnövelését folyamatos MW reaktorban. Másrészt a reakciót P-királis szekunder foszfin-oxidokra is kiterjesztettük.</w:t>
      </w:r>
      <w:r>
        <w:rPr>
          <w:color w:val="000000"/>
          <w:sz w:val="24"/>
          <w:szCs w:val="24"/>
        </w:rPr>
        <w:br/>
        <w:t xml:space="preserve">    Kísérleti munkám további részében új benz[de]izokinolinon-foszfonátok és -foszfin-oxidok előállítását kívántuk megvalósítani a 8-formil-1-naftalén-karbonsav, primer aminok és különféle foszfor-reagensek (dialkil-foszfitok vagy szekunder foszfin-oxidok) Kabachnik-Fields-reakcióját követő intramolekuláris gyűrűzárásával. A vegyületek az irodalomban eddig nem ismertek, így egy új vegyületcsalád előállítására és biológiai aktivitásának tanulmányozására nyílik lehetőség, mely során vizsgáljuk a termékek antibakteriális, illetve gyulladáscsökkentő hatását, valamint in vitro citotoxicitását.         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 </w:t>
      </w:r>
      <w:r>
        <w:rPr>
          <w:color w:val="000000"/>
          <w:sz w:val="24"/>
          <w:szCs w:val="24"/>
        </w:rPr>
        <w:drawing>
          <wp:inline distT="0" distB="0" distL="0" distR="0">
            <wp:extent cx="4716000" cy="921600"/>
            <wp:docPr id="42236628" name="name163be9d62421c9" descr="imgtmp_7816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8166_hu_1.png"/>
                    <pic:cNvPicPr/>
                  </pic:nvPicPr>
                  <pic:blipFill>
                    <a:blip r:embed="rId163be9d6242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6000" cy="92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Első lépésben egy választott modellreakció paramétereinek (reagensek mólaránya, katalizátor, hőmérséklet, reakcióidő) változtatásával kerestük az optimális körülményeket, majd a kondenzációt további aminokra és &gt;P(O)H reagensekre terjesztettük ki. A reakciókat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 NMR spektroszkópiával követtük, míg a termékeket oszlopkromatográfia segítségével tisztítottuk és szerkezetüket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NMR spektroszkópiával, illetve nagyfelbontású tömegspektrometriás (HRMS) vizsgálatokkal igazoltuk.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84921">
    <w:multiLevelType w:val="hybridMultilevel"/>
    <w:lvl w:ilvl="0" w:tplc="33639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84921">
    <w:abstractNumId w:val="69384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986541" Type="http://schemas.openxmlformats.org/officeDocument/2006/relationships/numbering" Target="numbering.xml"/><Relationship Id="rId163be9d6242187" Type="http://schemas.openxmlformats.org/officeDocument/2006/relationships/image" Target="media/imgrId163be9d624218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