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NYERGES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nyeri11@hotmail.com</w:t>
            </w:r>
            <w:r w:rsidRPr="002361E2">
              <w:rPr>
                <w:i/>
              </w:rPr>
              <w:br/>
            </w:r>
            <w:r w:rsidR="00A96AEC">
              <w:t>Gazdálkodási és menedzsment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Lámfalussy Sándor Közgazdaságtudományi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Paár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LKK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Pirger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SOE LKK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„Kis pénz, kis foci?...” - Az UEFA pénzek hatása a kelet-európai nemzeti labdarúgó baj-nokságok versenyegyensúlyára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megvizsgálni a kelet-európai labdarúgó bajnokságok versenyegyensúlyát, valamint az UEFA versenysorozatokból származó bevételek hatását a versenyegyensúlyra. Kutatásom során 6 ország nemzeti bajnokságát vizsgáltam meg. Ezek Ausztria, Ukrajna, Csehország, Horvátország, Magyarország, Lengyelország. A vizsgált időszak 2009-2020-ig tartott. A kezdő időpont az Európa Liga bevezetésének éve, a vége pedig a kutatásom időpontjában utolsó elérhető UEFA eredménykimutatás miatt adott. Három hipotézist állítottam fel, amik vonatkoztak a beáramló pénzek összegére, valamint adott ország csapatainak játékoskeret-értékeire, annak koncentrációjának összefüggéseire, és a sportszakmai mutatók értékeire, így befolyásolva a versenyegyensúlyt.</w:t>
      </w:r>
      <w:r>
        <w:rPr>
          <w:color w:val="000000"/>
          <w:sz w:val="24"/>
          <w:szCs w:val="24"/>
        </w:rPr>
        <w:br/>
        <w:t xml:space="preserve">Dolgozatomban röviden bemutatom a versenyegyensúly számítási módjait. Majd kiszámítom a vizsgált országok Lorenz görbéit, HRCB, C5, C5ICB, C3, C3ICB mutatóit is. A transfermarkt.de alapján meghatároztam az egyes országokban a csapatok kereteinek értékeit is, valamint az UEFA eredménykimutatásaiból kigyűjtöttem, hogy az egyes csapatok mekkora bevételre tettek szert a kupasorozatokból. Ezt követően a mutatókat és a beáramló pénzösszegeket, valamint a játékoskeret értékeket, és a beáramló pénzeket statisztikai módszerekkel (Pearsons-féle korreláció, 5%-os szignifikanciaszint mellett) összevetettem.</w:t>
      </w:r>
      <w:r>
        <w:rPr>
          <w:color w:val="000000"/>
          <w:sz w:val="24"/>
          <w:szCs w:val="24"/>
        </w:rPr>
        <w:br/>
        <w:t xml:space="preserve">Az első hipotézisem szerint azokban az országokban, ahonnan gyakran kvalifikálják magukat csapatok a nemzetközi kupák főtáblájára, ott a játékoskeretek értéke, és azok koncentrációja is fokozódik. Ausztria, Ukrajna, Horvátország és Csehország csapatai rendszeres résztvevői a nemzetközi kupáknak, ezekben az országokban a játékoskeretek értéke és azok koncentrációja is fokozódik. Különösen markánsan látszódik Ausztriában, Ukrajnában és Horvátországban mindez, hiszen ezek esetében a BL bevételek is megjelennek és fokozzák a koncentrációt.</w:t>
      </w:r>
      <w:r>
        <w:rPr>
          <w:color w:val="000000"/>
          <w:sz w:val="24"/>
          <w:szCs w:val="24"/>
        </w:rPr>
        <w:br/>
        <w:t xml:space="preserve">Második hipotézisem szerint a játékoskeret értékének koncentrációs mutatói és a sportszakmai eredmények koncentrációs mutatói között pozitív erős kapcsolat figyelhető meg. Több ország esetében is sikerült kapcsolatot találni, azonban nem mindig ugyanazon koncentrációs mutatók között, így nem jelenthető ki, hogy a játékoskeretek koncentrációja és a sportszakmai koncentráció együtt mozognak.</w:t>
      </w:r>
      <w:r>
        <w:rPr>
          <w:color w:val="000000"/>
          <w:sz w:val="24"/>
          <w:szCs w:val="24"/>
        </w:rPr>
        <w:br/>
        <w:t xml:space="preserve">Mindezek alapján tehát nem jelenthető ki egyértelműen, hogy az UEFA bevételek befolyásolják a versenyegyensúlyt Kelet-Európában.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82276">
    <w:multiLevelType w:val="hybridMultilevel"/>
    <w:lvl w:ilvl="0" w:tplc="47892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82276">
    <w:abstractNumId w:val="324822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185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