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MÁRK JOSZIPOVICS</w:t>
            </w:r>
          </w:p>
          <w:p w:rsidR="00C275A3" w:rsidRDefault="00186641" w:rsidP="00C275A3">
            <w:pPr>
              <w:pStyle w:val="Hallgatokepzes"/>
            </w:pPr>
            <w:r w:rsidRPr="002361E2">
              <w:rPr>
                <w:i/>
              </w:rPr>
              <w:t>fodormarkjoszipovics@gmail.com</w:t>
            </w:r>
            <w:r w:rsidRPr="002361E2">
              <w:rPr>
                <w:i/>
              </w:rPr>
              <w:br/>
            </w:r>
            <w:r w:rsidR="00A96AEC">
              <w:t>Government and Leadership</w:t>
            </w:r>
            <w:r w:rsidR="00A96AEC">
              <w:br/>
            </w:r>
            <w:r w:rsidR="00E77B23">
              <w:t>MA, 3.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BOLDIZSÁR GYŐRI</w:t>
            </w:r>
          </w:p>
          <w:p w:rsidR="00DB4822" w:rsidRDefault="00186641" w:rsidP="004D7940">
            <w:pPr>
              <w:pStyle w:val="Hallgatokepzes"/>
            </w:pPr>
            <w:bookmarkStart w:id="1" w:name="_GoBack"/>
            <w:r w:rsidRPr="002361E2">
              <w:rPr>
                <w:i/>
              </w:rPr>
              <w:t>boldizsargyori@gmail.com</w:t>
            </w:r>
            <w:r w:rsidRPr="002361E2">
              <w:rPr>
                <w:i/>
              </w:rPr>
              <w:br/>
            </w:r>
            <w:bookmarkEnd w:id="1"/>
            <w:r w:rsidR="00C275A3">
              <w:t>Development Policy and Program Management Expert</w:t>
            </w:r>
            <w:r w:rsidR="00A96AEC">
              <w:br/>
              <w:t>MA, 1. semester</w:t>
            </w:r>
          </w:p>
          <w:p w:rsidR="00DB4822" w:rsidRDefault="00DB4822" w:rsidP="004D7940">
            <w:pPr>
              <w:pStyle w:val="Hallgatointezmeny-kar"/>
            </w:pPr>
            <w:r>
              <w:t>National University of Public Service</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András Jancsó</w:t>
            </w:r>
          </w:p>
          <w:p w:rsidR="00DB4822" w:rsidRDefault="00DB4822" w:rsidP="009763E0">
            <w:pPr>
              <w:pStyle w:val="Konzulensektitulus"/>
            </w:pPr>
            <w:r w:rsidRPr="00DB4822">
              <w:t>assistant research fellow,  UPS Eötvös József Research Centre, Research Institute for Religion and Society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Sacralization Of Zionism And The Examination Of Political Consequences In The Framework Of Political Theology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essay is to try to explain Israel’s domestic and foreign policy steps through an examination of the ideology of Zionism as a political theology. Israel’s foreign policy moves are often difficult to explain in the theoretical framework of traditional international relations (liberalism, realism, constructivism), so it is necessary to apply new approaches such as political theology.</w:t>
      </w:r>
      <w:r>
        <w:rPr>
          <w:color w:val="000000"/>
          <w:sz w:val="24"/>
          <w:szCs w:val="24"/>
        </w:rPr>
        <w:br/>
        <w:t xml:space="preserve">The development of the Jewish state is decisively determined by the ideology of Zionism leading to the establishment of the state, the prevailing of its various tendencies. While in the period following the establishment of the early Ali and the state, political Zionism, which was considered secular, prevailed, from the 1970s onwards, the rise of religious Zionism became dominant. The essay focuses on the extent to which the strengthening of religious elements in politics can be considered a sharp dividing line in Israeli political history, whether we can speak of a completely secular period in terms of Zionism, or in the theoretical framework of political theology. They have always been present in the Zionist movement, so whether the dominance of overtly religious Zionism can be considered a natural process.</w:t>
      </w:r>
      <w:r>
        <w:rPr>
          <w:color w:val="000000"/>
          <w:sz w:val="24"/>
          <w:szCs w:val="24"/>
        </w:rPr>
        <w:br/>
        <w:t xml:space="preserve">To this end, Carl Schmitt’s political theology provides the political theory framework for the study, which is accompanied by an overview of the political history of the developmental history of Zionism, highlighting key thinkers in terms of political and religious Zionism. It then examines the extent to which Zionism can be considered a truly secular ideology, considering aspects of political theology. Following a theoretical study, the possible policy implications of the study results are identified.</w:t>
      </w:r>
      <w:r>
        <w:rPr>
          <w:color w:val="000000"/>
          <w:sz w:val="24"/>
          <w:szCs w:val="24"/>
        </w:rPr>
        <w:br/>
        <w:t xml:space="preserve">By examining of the essay, several statements can be made regarding its subject. On the one hand, that Zionism can be reconciled with the aspects of Carl Schmitt’s political theology and can thus be seen as an appropriate framework for examining Zionism. It can be stated that Zionism, considered secular, cannot be separated from the traditions of Judaism to be truly sharply contrasted with an ideology considered secular. This may also explain how religious Zionism may have become so dominant that, in terms of conclusions, it was not secular ideology that became sacred, but the extent of religious influence in Zionism that increased decisively.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02280">
    <w:multiLevelType w:val="hybridMultilevel"/>
    <w:lvl w:ilvl="0" w:tplc="71887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02280">
    <w:abstractNumId w:val="286022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5320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