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LIMA VASCONCELOS LIRA GUILHERME</w:t>
            </w:r>
          </w:p>
          <w:p w:rsidR="00C275A3" w:rsidRDefault="00186641" w:rsidP="00C275A3">
            <w:pPr>
              <w:pStyle w:val="Hallgatokepzes"/>
            </w:pPr>
            <w:r w:rsidRPr="002361E2">
              <w:rPr>
                <w:i/>
              </w:rPr>
              <w:t>gui.lira@gmail.com</w:t>
            </w:r>
            <w:r w:rsidRPr="002361E2">
              <w:rPr>
                <w:i/>
              </w:rPr>
              <w:br/>
            </w:r>
            <w:r w:rsidR="00A96AEC">
              <w:t>International Public Service Relations</w:t>
            </w:r>
            <w:r w:rsidR="00A96AEC">
              <w:br/>
            </w:r>
            <w:r w:rsidR="00E77B23">
              <w:t>MA, 3.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Noémi</w:t>
            </w:r>
          </w:p>
          <w:p w:rsidR="00DB4822" w:rsidRDefault="00DB4822" w:rsidP="009763E0">
            <w:pPr>
              <w:pStyle w:val="Konzulensektitulus"/>
            </w:pPr>
            <w:r w:rsidRPr="00DB4822">
              <w:t>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szivárványon túl: Kanada, az LMBT közösség menedéke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Global South, sexual minorities are fleeing from persecution based on sexual orientation and gender identity, seeking asylum in the Global North, despite having no explicit protection in international treaties. In the context of expanding the scope of the protection envisaged in the 1951 Refugee Convention, Canada is considered a pioneer in the eligibility and admissibility to grant protection on the 1951 Convention grounds, establishing a precedent. Having in mind the significance and relevance of the topic, this study intends to explore the international forced migration of LGBT people to Canada.</w:t>
      </w:r>
      <w:r>
        <w:rPr>
          <w:color w:val="000000"/>
          <w:sz w:val="24"/>
          <w:szCs w:val="24"/>
        </w:rPr>
        <w:br/>
        <w:t xml:space="preserve">To elaborate on the contributions, challenges, vulnerabilities, and particularities of the asylum-seeking process and the Canadian protective system, this article starts with a brief definition of sexual minorities that will be considered for the study, and the emergence of protection for sexual minorities, contextualizing the violence under a global approach, with specificities of the type of persecutions, the violence infringed, identification of the migration flow, and the countries of origin.</w:t>
      </w:r>
      <w:r>
        <w:rPr>
          <w:color w:val="000000"/>
          <w:sz w:val="24"/>
          <w:szCs w:val="24"/>
        </w:rPr>
        <w:br/>
        <w:t xml:space="preserve">In session three, we will explore the international legal framework: international treaties, conventions, guidelines, notes, and other documents that contribute to the discussions. The 1951 Convention and the 1967 Protocol are the starting point in this discussion, with special attention to the “membership of a particular social group” and how, under this category, sexual orientation and gender identity have been granted international protection under the 1951 Convention.</w:t>
      </w:r>
      <w:r>
        <w:rPr>
          <w:color w:val="000000"/>
          <w:sz w:val="24"/>
          <w:szCs w:val="24"/>
        </w:rPr>
        <w:br/>
        <w:t xml:space="preserve">In session four, we will explore the characteristics of the Canadian system and how the reputation exploited by the media, the exceptional management of migration, and the multicultural environment can foster conditions to make Canada a suitable destination. In addition, we explore the particularities of the Canadian system and landmark cases that contributed to the development of sexual minorities rights.</w:t>
      </w:r>
      <w:r>
        <w:rPr>
          <w:color w:val="000000"/>
          <w:sz w:val="24"/>
          <w:szCs w:val="24"/>
        </w:rPr>
        <w:br/>
        <w:t xml:space="preserve">In session five, we will elaborate on the protection system for LGBT asylum-seekers: the contributions, risks, particularities, main criticisms, and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97193">
    <w:multiLevelType w:val="hybridMultilevel"/>
    <w:lvl w:ilvl="0" w:tplc="43749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97193">
    <w:abstractNumId w:val="32697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688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