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PÓCS MÁTYÁS</w:t>
            </w:r>
          </w:p>
          <w:p w:rsidR="00C275A3" w:rsidRDefault="00186641" w:rsidP="00C275A3">
            <w:pPr>
              <w:pStyle w:val="Hallgatokepzes"/>
            </w:pPr>
            <w:r w:rsidRPr="002361E2">
              <w:rPr>
                <w:i/>
              </w:rPr>
              <w:t>pocs.matyas@gmail.com</w:t>
            </w:r>
            <w:r w:rsidRPr="002361E2">
              <w:rPr>
                <w:i/>
              </w:rPr>
              <w:br/>
            </w:r>
            <w:r w:rsidR="00A96AEC">
              <w:t>nemzetköz igazgatás</w:t>
            </w:r>
            <w:r w:rsidR="00A96AEC">
              <w:br/>
            </w:r>
            <w:r w:rsidR="00E77B23">
              <w:t>BA, 5.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András</w:t>
            </w:r>
          </w:p>
          <w:p w:rsidR="00DB4822" w:rsidRDefault="00DB4822" w:rsidP="009763E0">
            <w:pPr>
              <w:pStyle w:val="Konzulensektitulus"/>
            </w:pPr>
            <w:r w:rsidRPr="00DB4822">
              <w:t>egyetemi adjunktus , NKE ÁNTK</w:t>
            </w:r>
          </w:p>
        </w:tc>
      </w:tr>
      <w:tr w:rsidR="00DB4822" w:rsidTr="00DB4822">
        <w:tc>
          <w:tcPr>
            <w:tcW w:w="9854" w:type="dxa"/>
          </w:tcPr>
          <w:p w:rsidR="00DB4822" w:rsidRPr="00DB4822" w:rsidRDefault="00DB4822" w:rsidP="009763E0">
            <w:pPr>
              <w:pStyle w:val="Konzulenseknev"/>
            </w:pPr>
            <w:r w:rsidRPr="00DB4822">
              <w:t>Dr. Rada Péter</w:t>
            </w:r>
          </w:p>
          <w:p w:rsidR="00DB4822" w:rsidRDefault="00DB4822" w:rsidP="009763E0">
            <w:pPr>
              <w:pStyle w:val="Konzulensektitulus"/>
            </w:pPr>
            <w:r w:rsidRPr="00DB4822">
              <w:t>egyetemi docens ,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diplomáciája napjaink civilizációs törésvonal-konfliktusaiban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 kutatás célja az Európai Unió civilizációs törésvonal-konfliktusokban (Ukrajna, Hegyi-Karabah, Mindanao) felvállalt szerepének, illetve az ezen konfliktuskezelésekben rejlő különbségek összehasonlító esettanulmány keretei között való bemutatása. Az adott témakör a politikatudomány területén, deduktív kutatási stratégiával kerül elemzésre.</w:t>
      </w:r>
    </w:p>
    <w:p>
      <w:pPr>
        <w:widowControl w:val="on"/>
        <w:pBdr/>
        <w:spacing w:before="240" w:after="240" w:line="240" w:lineRule="auto"/>
        <w:ind w:left="0" w:right="0"/>
        <w:jc w:val="left"/>
      </w:pPr>
      <w:r>
        <w:rPr>
          <w:color w:val="000000"/>
          <w:sz w:val="24"/>
          <w:szCs w:val="24"/>
        </w:rPr>
        <w:t xml:space="preserve">A kutatás levezetési terve a következő: a témakör relevanciája és az Unió konfliktuskezelésének alapjai, illetve a módszertan lefektetése; ezt követően a három konfliktus és az Unió ezekben vállalt szerepének bemutatása, majd a hipotéziseket kifejtő konklúzió.</w:t>
      </w:r>
    </w:p>
    <w:p>
      <w:pPr>
        <w:widowControl w:val="on"/>
        <w:pBdr/>
        <w:spacing w:before="240" w:after="240" w:line="240" w:lineRule="auto"/>
        <w:ind w:left="0" w:right="0"/>
        <w:jc w:val="left"/>
      </w:pPr>
      <w:r>
        <w:rPr>
          <w:color w:val="000000"/>
          <w:sz w:val="24"/>
          <w:szCs w:val="24"/>
        </w:rPr>
        <w:t xml:space="preserve">A tanulmány a következő hipotézisekre kíván választ adni: (1) Az EU szerepvállalása a gazdasági és politikai érdekeinek megfelelően változik a három törésvonal-konfliktus esetében. (2) Az EU csupán saját perifériáján belül képes hatékony szerepvállalásra. (3) Az Európai Unió képes a Nyugat értékeinek, érdekeinek közvetítésén, kiterjesztésén keresztül „civilizáló hatalommá” válni. Ezen kérdések megválaszolásához a kohézió, hitelesség és pártatlanság kritériuma; illetve az aktív/passzív szerepvállaláson túl kommunikátor, manipulátor és jogalkotó típusú szerepkörök nyújtanak segítséget.</w:t>
      </w:r>
    </w:p>
    <w:p>
      <w:pPr>
        <w:widowControl w:val="on"/>
        <w:pBdr/>
        <w:spacing w:before="240" w:after="240" w:line="240" w:lineRule="auto"/>
        <w:ind w:left="0" w:right="0"/>
        <w:jc w:val="left"/>
      </w:pPr>
      <w:r>
        <w:rPr>
          <w:color w:val="000000"/>
          <w:sz w:val="24"/>
          <w:szCs w:val="24"/>
        </w:rPr>
        <w:t xml:space="preserve">A konfliktusok részletes elemzése révén kiderül, hogy ugyan a szerepvállalásban lelhetünk kölönbségeket, melyek a gazdasági érdekekhez köthetők, viszont ezen érdekek sokkal inkább a konfliktuskezelés velejáró komponenseként, mint fő motiváló tényezőként merülnek fel. Továbbá az EU saját perifériáján kívül is alkalmas hatékony fellépésre, hiszen Mindanao 12 ezer kilométeres távolságával sem az Unió politikai, sem gazdasági befolyásövezetébe nem tartozik bele. Mégis, tekintve a fentebb tárgyalt három pont szerinti eredményességét, az EU ezen a területen volt lehatékonyabb, legtisztábban diplomáciai és „soft power” eszközökkel élő normatív békepartner. Végül, az Unió, értékeinek is érdekeinek kiterjesztése révén valóban működhet „civilizáló hatalomként”, ahogyan azt Mindanao területén láthattuk a nemi perspektíva esetében avagy az ukrán demokratizálási kísérletekben.</w:t>
      </w:r>
    </w:p>
    <w:p>
      <w:pPr>
        <w:widowControl w:val="on"/>
        <w:pBdr/>
        <w:spacing w:before="240" w:after="240" w:line="240" w:lineRule="auto"/>
        <w:ind w:left="0" w:right="0"/>
        <w:jc w:val="left"/>
      </w:pPr>
      <w:r>
        <w:rPr>
          <w:color w:val="000000"/>
          <w:sz w:val="24"/>
          <w:szCs w:val="24"/>
        </w:rPr>
        <w:t xml:space="preserve">A kutatás eredményeképp tehát megismerhetjük az Unió globális stratégiájának gyakorlati megvalósulását a biztonság, gazdasági fejlődés és értékek védelme területén. Mindemellett betekintést nyerhetünk egy olyan entitás civilizációs szerepvállalásába, mely Huntington civilizációk összecsapásáról szóló műveinek idejében még csupán kezdetleges verziója volt annak, amit a mai nap már Európai Unióként ismerhetünk.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36451">
    <w:multiLevelType w:val="hybridMultilevel"/>
    <w:lvl w:ilvl="0" w:tplc="84078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36451">
    <w:abstractNumId w:val="11236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438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