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ZOÉ ZSARNAI </w:t>
            </w:r>
          </w:p>
          <w:p w:rsidR="00C275A3" w:rsidRDefault="00186641" w:rsidP="00C275A3">
            <w:pPr>
              <w:pStyle w:val="Hallgatokepzes"/>
            </w:pPr>
            <w:r w:rsidRPr="002361E2">
              <w:rPr>
                <w:i/>
              </w:rPr>
              <w:t>zsarnai.zoe@gmail.com</w:t>
            </w:r>
            <w:r w:rsidRPr="002361E2">
              <w:rPr>
                <w:i/>
              </w:rPr>
              <w:br/>
            </w:r>
            <w:r w:rsidR="00A96AEC">
              <w:t>Disaster Management Operational</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József Ambrusz </w:t>
            </w:r>
          </w:p>
          <w:p w:rsidR="00DB4822" w:rsidRDefault="00DB4822" w:rsidP="009763E0">
            <w:pPr>
              <w:pStyle w:val="Konzulensektitulus"/>
            </w:pPr>
            <w:r w:rsidRPr="00DB4822">
              <w:t>head of department, honorary associate professor, director of institute,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 disaster rehabilitation for private property with special regard in land registry procedures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decades, climate change has led to a significant increase in the number of damage caused by extreme weather worldwide, which has caused significant damage to the built environment. In the case of privately owned buildings, its protection is primarily the responsibility of the owner, but it is also the responsibility of the state to guarantee the order of society and the economy. The risk of damage is the responsibility of the owner, however, the prevention of disasters, the rescue, the organization of protection, the elimination and elimination of its consequences, and the restoration and reconstruction are at the discretion of the Government. In Hungary, thousands of Hungarian families have been or become uninhabitable in the last two decades as a result of relentless and intensifying natural disasters, in the latter case support. Unfortunately, property owners do not always act impeccably, as a yoga owner, with regard to their own properties, although the accuracy of land registry entries and data in the cartographic database, which citizens do not know or cannot but fulfill their obligations in this regard.</w:t>
      </w:r>
    </w:p>
    <w:p>
      <w:pPr>
        <w:widowControl w:val="on"/>
        <w:pBdr/>
        <w:spacing w:before="240" w:after="240" w:line="240" w:lineRule="auto"/>
        <w:ind w:left="0" w:right="0"/>
        <w:jc w:val="left"/>
      </w:pPr>
      <w:r>
        <w:rPr>
          <w:color w:val="000000"/>
          <w:sz w:val="24"/>
          <w:szCs w:val="24"/>
        </w:rPr>
        <w:br/>
        <w:t xml:space="preserve">In my dissertation I covered the cases of compensation, indemnification, mitigation and restoration and reconstruction, and why it is important to accurately indicate the floor plan of the building in the map database in case of the elimination of the consequences. In order to process the topic, I considered it necessary to present disaster management and land registry procedures and the basic concepts related to them, as well as social research, through which we can get a concrete picture of the source of the problem under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72363">
    <w:multiLevelType w:val="hybridMultilevel"/>
    <w:lvl w:ilvl="0" w:tplc="76440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72363">
    <w:abstractNumId w:val="76672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604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