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BALOGH SZABOLCS SÁNDOR</w:t>
            </w:r>
          </w:p>
          <w:p w:rsidR="00C275A3" w:rsidRDefault="00186641" w:rsidP="00C275A3">
            <w:pPr>
              <w:pStyle w:val="Hallgatokepzes"/>
            </w:pPr>
            <w:r w:rsidRPr="002361E2">
              <w:rPr>
                <w:i/>
              </w:rPr>
              <w:t>balogh.szabolcs.gahczk@gmail.com</w:t>
            </w:r>
            <w:r w:rsidRPr="002361E2">
              <w:rPr>
                <w:i/>
              </w:rPr>
              <w:br/>
            </w:r>
            <w:r w:rsidR="00A96AEC">
              <w:t>Nemzetközi gazdálkodás</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Ferkelt Balázs PhD</w:t>
            </w:r>
          </w:p>
          <w:p w:rsidR="00DB4822" w:rsidRDefault="00DB4822" w:rsidP="009763E0">
            <w:pPr>
              <w:pStyle w:val="Konzulensektitulus"/>
            </w:pPr>
            <w:r w:rsidRPr="00DB4822">
              <w:t>egyetemi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Brexit hatása Németország és az Egyesült Királyság gazdasági kereskedelmi kapcsolatrendszerére különös tekintettel az autóiparra és Frankfurt pénzügyi központ szerepére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2016. június 23-án az Egyesült Királyság népszavazást követően úgy döntött, hogy ki fog lépni az Európai Unióból. A népszavazás után 3 és fél évvel később történt meg jogilag a kilépés, majd rengeteg olykor zátonyra futott tárgyalás után sikerült 2020 december végén egy olyan megállapodást kötni, mely már a két fél közötti gazdasági-kereskedelmi kapcsolatot is meghatározta, még ha még mindig nem teljesen, hiszen dolgozatom írásakor a pénzügyi szektor máig nincs kielégítően rendezve.</w:t>
      </w:r>
      <w:r>
        <w:rPr>
          <w:color w:val="000000"/>
          <w:sz w:val="24"/>
          <w:szCs w:val="24"/>
        </w:rPr>
        <w:br/>
        <w:t xml:space="preserve">Annak ellenére, hogy az átmeneti időszakban az Egyesült Királyság a belső piacban maradt, a Brexit utáni években 2019-ig a kereskedelem volumene több mint 10 milliárd euróval csökkent. Az árukereskedelmi statisztikákat vizsgálva hamar kiderül, hogy az autóipari export és import esett vissza a legnagyobb mértékben. Emellett a londoni pénzügyi szektorban, mely eddig a közös piacon egyértelműen legnagyobb volt, nagyméretű átrendeződések indultak meg hiszen a közös piacból kieső London versenyképessége is sérült. A népszavazás közvetlen következményeként számos pénzügyi szereplő csoportosított át erőforrásokat az unióba, valamint az Európai Bankhatóság is átköltözött Párizsba. London után számos kontinentális európai város felmerült, mint lehetséges pénzügyi központ (például Párizs, Dublin, Frankfurt am Main). A kutatás során ezek esélyét fogom vizsgálni Frankfurt am Main-ra koncentrálva.</w:t>
      </w:r>
      <w:r>
        <w:rPr>
          <w:color w:val="000000"/>
          <w:sz w:val="24"/>
          <w:szCs w:val="24"/>
        </w:rPr>
        <w:br/>
        <w:t xml:space="preserve">Dolgozatomban az Egyesült Királyság és Németország közötti áru- és szolgáltatáskereskedelmi kapcsolatot vizsgálom részletesebben. Németország az európai blokk meghatározó gazdasági szereplője, s a kilépő országgal folytatott kereskedelme az Európai Unió más országainak számára is jelentőséggel bír. Emellett annak esélyét elemzem, hogy Frankfurt am Main lehet-e a közös piacból kieső London után az unió vezető pénzügyi központja.</w:t>
      </w:r>
      <w:r>
        <w:rPr>
          <w:color w:val="000000"/>
          <w:sz w:val="24"/>
          <w:szCs w:val="24"/>
        </w:rPr>
        <w:br/>
        <w:t xml:space="preserve">Kutatásomhoz angol magyar és német nyelvű forrásokat használtam fel. Nemzetközi szervezetek, EU és Németország szövetségi és Hessen tartományi statisztikáit dolgoztam fel, valamint európai uniós jogforrásokat is segítségül vettem. Munkám során ezeket a témákat fogom körbejárni nemzetközi adatok segítségével és arra a kérdésre fogok választ keresni, hogy a tényleges kilépést megelőző években mennyire történt-e számottevő változás az unió két legnagyobb gazdasága között és ha igen, miért és milyen síkokon történt meg ez a változás, és ez mit jelenthet a partnerek számára jövőre nézve, illetve tényleg Frankfurt am Main lehet-e az Európai Unió új pénzügyi központja.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38532">
    <w:multiLevelType w:val="hybridMultilevel"/>
    <w:lvl w:ilvl="0" w:tplc="41353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38532">
    <w:abstractNumId w:val="31338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383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