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SZABOLCS SÁNDOR BALOGH</w:t>
            </w:r>
          </w:p>
          <w:p w:rsidR="00C275A3" w:rsidRDefault="00186641" w:rsidP="00C275A3">
            <w:pPr>
              <w:pStyle w:val="Hallgatokepzes"/>
            </w:pPr>
            <w:r w:rsidRPr="002361E2">
              <w:rPr>
                <w:i/>
              </w:rPr>
              <w:t>balogh.szabolcs.gahczk@gmail.com</w:t>
            </w:r>
            <w:r w:rsidRPr="002361E2">
              <w:rPr>
                <w:i/>
              </w:rPr>
              <w:br/>
            </w:r>
            <w:r w:rsidR="00A96AEC">
              <w:t>international business management</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Balázs Ferkelt PhD</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BREXIT ON TRADE BETWEEN GERMANY AND THE UNITED KINGDOM WITH EMPHASIS ON THE AUTOMOBILE INDUSTRY AND FRANKFURT’S ROLE AS A FINANCIAL HUB</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United Kingdom is leaving the EU following the successful Brexit referendum. It left de jure after 3 and a half years and following multiple rounds of negotiations, an agreement was struck setting the future general conditions of economic and trade relationship between the two sides. At the time of the writing of this research, the future state of the financial sector is still not defined and apart from a Memorandum of Understanding is left undecided.</w:t>
      </w:r>
      <w:r>
        <w:rPr>
          <w:color w:val="000000"/>
          <w:sz w:val="24"/>
          <w:szCs w:val="24"/>
        </w:rPr>
        <w:br/>
        <w:t xml:space="preserve">Although economically the UK was still part of the EU, in just 3 years, its trade volume with Germany has sunk by a sum of 10 billion euros. Upon closer inspection of trade of goods, it becomes clear that the majority of this loss stems mainly from the steady decline of automobile export from Germany. Moreover, the financial sector (in which the UK was historically dominant) has also experienced a shake up as London is in danger of losing competitiveness after leaving the common market. Several actors in finance have started relocating their operation in order to escape additional regulations that are expected. Understandably, the European Banking Authority was also moved to Paris. The departure of UK has sparked a debate and consequently a race for a new, continental financial hub for Europe. Among the „contenders” are Paris, Frankfurt am Main or even Dublin. Through my research I focused on Frankfurt am Main.</w:t>
      </w:r>
      <w:r>
        <w:rPr>
          <w:color w:val="000000"/>
          <w:sz w:val="24"/>
          <w:szCs w:val="24"/>
        </w:rPr>
        <w:br/>
        <w:t xml:space="preserve">Germany is the EU’s leading economy, and its trade with the UK is also important to other member states. Understanding the change in economic activity between the two countries can illustrate well the nature of coming changes after Brexit. Following the exit, a comprehensive change in trade-law (both of goods and services) is also taking place, placing indirect barriers on trade. Additionally, I gauge the possibility of Frankfurt am Main being the new financial hub in continental Europe.</w:t>
      </w:r>
      <w:r>
        <w:rPr>
          <w:color w:val="000000"/>
          <w:sz w:val="24"/>
          <w:szCs w:val="24"/>
        </w:rPr>
        <w:br/>
        <w:t xml:space="preserve">For this I used German, English, and Hungarian sources and reports of institutions belonging to the EU, Germany and the federal state of Hessen. Through this work I also research the implications of the changing EU-UK laws following the referendum by using EU and UK legislation as a source. In my research I explore why, and if yes on what dimensions the trade of goods and services has changed between the UK and Germany following the referendum and what kind of implication it has for the UK and the EU as a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84583">
    <w:multiLevelType w:val="hybridMultilevel"/>
    <w:lvl w:ilvl="0" w:tplc="40392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84583">
    <w:abstractNumId w:val="26984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32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