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HOANG NHAT NAM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namhoang9910@gmail.com</w:t>
            </w:r>
            <w:r w:rsidRPr="002361E2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Gáspár Tamás CSc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KÜLÖNLEGES IPARÁGI ELEMZÉS: HOGYAN MŰKÖDIK A JAPÁN MANGA ÉS ANIME IPARI KOMPLEXUM?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KÜLÖNLEGES IPARÁGI ELEMZÉS: HOGYAN MŰKÖDIK A JAPÁN MANGA-</w:t>
      </w:r>
      <w:r>
        <w:rPr>
          <w:color w:val="000000"/>
          <w:sz w:val="24"/>
          <w:szCs w:val="24"/>
        </w:rPr>
        <w:br/>
        <w:t xml:space="preserve">ÉS ANIME IPARI KOMPLEXUM?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Annak ellenére, hogy nem tartoznak a mainstream nyugati kultúrához, a manga és az anime –</w:t>
      </w:r>
      <w:r>
        <w:rPr>
          <w:color w:val="000000"/>
          <w:sz w:val="24"/>
          <w:szCs w:val="24"/>
        </w:rPr>
        <w:br/>
        <w:t xml:space="preserve">japán képregények és animációk – Japán népszerű kulturális termékeiként hódítanak a</w:t>
      </w:r>
      <w:r>
        <w:rPr>
          <w:color w:val="000000"/>
          <w:sz w:val="24"/>
          <w:szCs w:val="24"/>
        </w:rPr>
        <w:br/>
        <w:t xml:space="preserve">világon.</w:t>
      </w:r>
      <w:r>
        <w:rPr>
          <w:color w:val="000000"/>
          <w:sz w:val="24"/>
          <w:szCs w:val="24"/>
        </w:rPr>
        <w:br/>
        <w:t xml:space="preserve">Ennek az iparágnak a fiatalok körében való globális népszerűsége gyakran ösztönözte a</w:t>
      </w:r>
      <w:r>
        <w:rPr>
          <w:color w:val="000000"/>
          <w:sz w:val="24"/>
          <w:szCs w:val="24"/>
        </w:rPr>
        <w:br/>
        <w:t xml:space="preserve">korábbi szakirodalmat, hogy megvizsgálja társadalmi, kulturális vagy pszichológiai hatását. A</w:t>
      </w:r>
      <w:r>
        <w:rPr>
          <w:color w:val="000000"/>
          <w:sz w:val="24"/>
          <w:szCs w:val="24"/>
        </w:rPr>
        <w:br/>
        <w:t xml:space="preserve">gyakorlati-üzleti dimenzió elemzése azonban kevéssé került középpontba. Jelen tanulmány</w:t>
      </w:r>
      <w:r>
        <w:rPr>
          <w:color w:val="000000"/>
          <w:sz w:val="24"/>
          <w:szCs w:val="24"/>
        </w:rPr>
        <w:br/>
        <w:t xml:space="preserve">célja a manga- és anime ipar bemutatása, azon fő kérdés alapján, hogy miként működik a</w:t>
      </w:r>
      <w:r>
        <w:rPr>
          <w:color w:val="000000"/>
          <w:sz w:val="24"/>
          <w:szCs w:val="24"/>
        </w:rPr>
        <w:br/>
        <w:t xml:space="preserve">japán manga- és anime ipar együttműködése. A felhasználói elsősorban azok, akik</w:t>
      </w:r>
      <w:r>
        <w:rPr>
          <w:color w:val="000000"/>
          <w:sz w:val="24"/>
          <w:szCs w:val="24"/>
        </w:rPr>
        <w:br/>
        <w:t xml:space="preserve">szeretnének többet megtudni a témáról, illetve belépni ebbe az iparágba.</w:t>
      </w:r>
      <w:r>
        <w:rPr>
          <w:color w:val="000000"/>
          <w:sz w:val="24"/>
          <w:szCs w:val="24"/>
        </w:rPr>
        <w:br/>
        <w:t xml:space="preserve">Módszertanilag a Francis J. Aguilar PESTLE-elemzésén alapuló új keretrendszer, az „Ipari</w:t>
      </w:r>
      <w:r>
        <w:rPr>
          <w:color w:val="000000"/>
          <w:sz w:val="24"/>
          <w:szCs w:val="24"/>
        </w:rPr>
        <w:br/>
        <w:t xml:space="preserve">karaktermodell” alapján történik a manga és anime ipar tömör és átfogó vizsgálata. A</w:t>
      </w:r>
      <w:r>
        <w:rPr>
          <w:color w:val="000000"/>
          <w:sz w:val="24"/>
          <w:szCs w:val="24"/>
        </w:rPr>
        <w:br/>
        <w:t xml:space="preserve">keretrendszer három altémát vizsgál: a történelmet, a struktúrákat és a gazdasági profilt. Az</w:t>
      </w:r>
      <w:r>
        <w:rPr>
          <w:color w:val="000000"/>
          <w:sz w:val="24"/>
          <w:szCs w:val="24"/>
        </w:rPr>
        <w:br/>
        <w:t xml:space="preserve">adatgyűjtés módszere szakirodalmi áttekintés, elsődleges (interjúk, weboldalak stb.) és</w:t>
      </w:r>
      <w:r>
        <w:rPr>
          <w:color w:val="000000"/>
          <w:sz w:val="24"/>
          <w:szCs w:val="24"/>
        </w:rPr>
        <w:br/>
        <w:t xml:space="preserve">másodlagos forrásokból (könyvek, folyóiratcikkek stb.).</w:t>
      </w:r>
      <w:r>
        <w:rPr>
          <w:color w:val="000000"/>
          <w:sz w:val="24"/>
          <w:szCs w:val="24"/>
        </w:rPr>
        <w:br/>
        <w:t xml:space="preserve">Bár a mangát és az animét általában egy nagyobb iparág részeként tekintik, ez a tanulmány a</w:t>
      </w:r>
      <w:r>
        <w:rPr>
          <w:color w:val="000000"/>
          <w:sz w:val="24"/>
          <w:szCs w:val="24"/>
        </w:rPr>
        <w:br/>
        <w:t xml:space="preserve">két külön szektorként vizsgálja, és csak ezt követően elemzi a kölcsönös és együttes</w:t>
      </w:r>
      <w:r>
        <w:rPr>
          <w:color w:val="000000"/>
          <w:sz w:val="24"/>
          <w:szCs w:val="24"/>
        </w:rPr>
        <w:br/>
        <w:t xml:space="preserve">hatásukat. A kutatás megállapította, hogy a manga és az anime története, jelenlegi</w:t>
      </w:r>
      <w:r>
        <w:rPr>
          <w:color w:val="000000"/>
          <w:sz w:val="24"/>
          <w:szCs w:val="24"/>
        </w:rPr>
        <w:br/>
        <w:t xml:space="preserve">felépítésének és gyakorlatának nagy része párhuzamos egymással. Különösen a hosszú távú</w:t>
      </w:r>
      <w:r>
        <w:rPr>
          <w:color w:val="000000"/>
          <w:sz w:val="24"/>
          <w:szCs w:val="24"/>
        </w:rPr>
        <w:br/>
        <w:t xml:space="preserve">fejlődéstörténet lehetővé teszi a két terület számára, hogy összehangolják üzleti stratégiájukat,</w:t>
      </w:r>
      <w:r>
        <w:rPr>
          <w:color w:val="000000"/>
          <w:sz w:val="24"/>
          <w:szCs w:val="24"/>
        </w:rPr>
        <w:br/>
        <w:t xml:space="preserve">nevezetesen a meritokrácia rendszerét a mangák esetében és a befektetések diverzifikálását az</w:t>
      </w:r>
      <w:r>
        <w:rPr>
          <w:color w:val="000000"/>
          <w:sz w:val="24"/>
          <w:szCs w:val="24"/>
        </w:rPr>
        <w:br/>
        <w:t xml:space="preserve">anime iparban. A manga az anime inputjává válik a pénzügyi kockázatok csökkentése</w:t>
      </w:r>
      <w:r>
        <w:rPr>
          <w:color w:val="000000"/>
          <w:sz w:val="24"/>
          <w:szCs w:val="24"/>
        </w:rPr>
        <w:br/>
        <w:t xml:space="preserve">érdekében, míg az utóbbi a reklámtevékenységen keresztül növeli mindkét terület profitját.</w:t>
      </w:r>
      <w:r>
        <w:rPr>
          <w:color w:val="000000"/>
          <w:sz w:val="24"/>
          <w:szCs w:val="24"/>
        </w:rPr>
        <w:br/>
        <w:t xml:space="preserve">Összességében egy szinergikus termelési ciklus alakul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Manga, japán képregény, japán anime/animáció, manga és anime</w:t>
      </w:r>
      <w:r>
        <w:rPr>
          <w:color w:val="000000"/>
          <w:sz w:val="24"/>
          <w:szCs w:val="24"/>
        </w:rPr>
        <w:br/>
        <w:t xml:space="preserve">közgazdaságtan, mangaipar szerkezete, animeipar szerkezete, animemarketing, szinergia.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widowControl w:val="on"/>
        <w:pBdr/>
        <w:spacing w:before="0" w:after="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623113">
    <w:multiLevelType w:val="hybridMultilevel"/>
    <w:lvl w:ilvl="0" w:tplc="34234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623113">
    <w:abstractNumId w:val="536231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09905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