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 MELINDA PATRÍCIA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pmelindapatricia@gmail.com</w:t>
            </w:r>
            <w:r w:rsidRPr="002361E2">
              <w:rPr>
                <w:i/>
              </w:rPr>
              <w:br/>
            </w:r>
            <w:r w:rsidR="00A96AEC">
              <w:t>nemzetközi igazgatási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Hettyey András Örs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Keletnémet integráció: áll még a belnémet fal?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témájaként a belnémet viszony aktuális helyzetét választottam, melyet nem korlátoztam a Németországon belüli eltérések regionális szempontból történő bemutatására. Megpróbáltam azonosítani a keletnémet nézőpontok okozati összefüggéseit, gazdasági hátterét és szociálpszichológiai mechanizmusait, s azt, mindezt mennyire lehet visszavezetni a szocializmus idejére.</w:t>
      </w:r>
      <w:r>
        <w:rPr>
          <w:color w:val="000000"/>
          <w:sz w:val="24"/>
          <w:szCs w:val="24"/>
        </w:rPr>
        <w:br/>
        <w:t xml:space="preserve">Habár a fal fizikailag leomlott, azonban a fejekben még mindig áll, fő hipotézisem, hogy ez a keletnémet integráció legnagyobb akadálya. Az öt új tartomány lassú gazdasági felzárkózása csalódottsághoz, majd a bal- és jobboldali szélsőséges politikai csoportosulások magas támogatottságához vezetett. Témaválasztásom indíttatása eme jelenség hátterének megértése volt, s mivel a hidegháború németországi vetülete mindig is érdekelt, szerettem volna mélyebben elemezni a külön töltött negyven évből fakadó különbségeket.</w:t>
      </w:r>
      <w:r>
        <w:rPr>
          <w:color w:val="000000"/>
          <w:sz w:val="24"/>
          <w:szCs w:val="24"/>
        </w:rPr>
        <w:br/>
        <w:t xml:space="preserve">Munkám során arra kerestem a választ, hogy milyen, napjainkban is érezhető különbségek akadályozzák a keletnémet integráció teljes sikerét, valamint mennyire nagy a sokat emlegetett kelet-nyugati szakadék. Célom bemutatni a megosztottság négy évtizedét, illetve feltárni, az újraegyesítést követően milyen formában vannak jelen a belnémet egyenlőtlenségek.</w:t>
      </w:r>
      <w:r>
        <w:rPr>
          <w:color w:val="000000"/>
          <w:sz w:val="24"/>
          <w:szCs w:val="24"/>
        </w:rPr>
        <w:br/>
        <w:t xml:space="preserve">A kutatás folyamán szekunder forrásokat használtam fel (német szakirodalmat, kutatásokat, újságcikkeket), illetve a tanulmányaim folyamán szerzett ismereteimet. Kvalitatív módszer vizsgálatát alkalmaztam: dokumentum-, tartalom- és diskurzuselemzésből, valamint statisztikai adatok és adatbázisok vizsgálatából jött létre a dolgozat.</w:t>
      </w:r>
      <w:r>
        <w:rPr>
          <w:color w:val="000000"/>
          <w:sz w:val="24"/>
          <w:szCs w:val="24"/>
        </w:rPr>
        <w:br/>
        <w:t xml:space="preserve">A tanulmány nyomán megismerhető a hidegháború Németországa, a kettészakított ország egységre törekvő, vagy éppen az ellen ágáló bel- és külpolitikája. Megvizsgálom a keletnémet gazdaság nyugati tartományokhoz viszonyított lemaradásának mértékét, valamint bemutatom a fordulat pozitív hozadékait is. Külön fejezetben vizsgálom az „Ossi-Wessi” terminusok és a gondolkodásmódbeli különbségek relevanciáját. Mindennek tükrében megpróbálom értelmezni a szélsőséges politikai csoportosulások kelet-németországi magas támogatottságát.</w:t>
      </w:r>
      <w:r>
        <w:rPr>
          <w:color w:val="000000"/>
          <w:sz w:val="24"/>
          <w:szCs w:val="24"/>
        </w:rPr>
        <w:br/>
        <w:t xml:space="preserve">Részben a körüljárt jelenség vitathatósága, részben pedig maga a keletnémet identitás meglétének kérdése határolta be a vizsgálat terjedelmét.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824843">
    <w:multiLevelType w:val="hybridMultilevel"/>
    <w:lvl w:ilvl="0" w:tplc="296003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824843">
    <w:abstractNumId w:val="538248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95575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