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GYÚRÓ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nockauborka@gmail.com</w:t>
            </w:r>
            <w:r w:rsidRPr="002361E2">
              <w:rPr>
                <w:i/>
              </w:rPr>
              <w:br/>
            </w:r>
            <w:r w:rsidR="00A96AEC">
              <w:t>Alkalmazott matematikus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György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Bifurkációk szomitogenezist modellező rendszerekben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a gerincfejlődés alapjául szolgáló modell kinetikai részének kvalitatív tu-</w:t>
      </w:r>
      <w:r>
        <w:rPr>
          <w:color w:val="000000"/>
          <w:sz w:val="24"/>
          <w:szCs w:val="24"/>
        </w:rPr>
        <w:br/>
        <w:t xml:space="preserve">lajdonságait vizsgáljuk. Elsőként megmutatjuk, hogy a fázistér pozitív kvadránsa (pozitívan)</w:t>
      </w:r>
      <w:r>
        <w:rPr>
          <w:color w:val="000000"/>
          <w:sz w:val="24"/>
          <w:szCs w:val="24"/>
        </w:rPr>
        <w:br/>
        <w:t xml:space="preserve">invariáns halmaz, adott feltétel teljesülése esetén a megoldások egyenletesen korlátosak.</w:t>
      </w:r>
      <w:r>
        <w:rPr>
          <w:color w:val="000000"/>
          <w:sz w:val="24"/>
          <w:szCs w:val="24"/>
        </w:rPr>
        <w:br/>
        <w:t xml:space="preserve">Ezt követően a rendszer egyensúlyi megoldásait és azok stabilitási tulajdonságait vesszük górcső</w:t>
      </w:r>
      <w:r>
        <w:rPr>
          <w:color w:val="000000"/>
          <w:sz w:val="24"/>
          <w:szCs w:val="24"/>
        </w:rPr>
        <w:br/>
        <w:t xml:space="preserve">alá: feltételeket fogalmazunk meg az egyensúlyi helyzetek létezésére, azok stabilitására vonatkozó-</w:t>
      </w:r>
      <w:r>
        <w:rPr>
          <w:color w:val="000000"/>
          <w:sz w:val="24"/>
          <w:szCs w:val="24"/>
        </w:rPr>
        <w:br/>
        <w:t xml:space="preserve">an. Majd a paraméterekre vonatkozó bizonyos kikötések teljesülése esetén igazoljuk, hogy nincsen</w:t>
      </w:r>
      <w:r>
        <w:rPr>
          <w:color w:val="000000"/>
          <w:sz w:val="24"/>
          <w:szCs w:val="24"/>
        </w:rPr>
        <w:br/>
        <w:t xml:space="preserve">a rendszerben periodikus pálya. Végül, de nem utolsó sorban lokális bifurkációk felléptét igazol-</w:t>
      </w:r>
      <w:r>
        <w:rPr>
          <w:color w:val="000000"/>
          <w:sz w:val="24"/>
          <w:szCs w:val="24"/>
        </w:rPr>
        <w:br/>
        <w:t xml:space="preserve">juk, nevezetesen nyereg csomó, Poincaré-Andronov-Hopf- és Bogdanov-Takens-bifurkáció meglétét</w:t>
      </w:r>
      <w:r>
        <w:rPr>
          <w:color w:val="000000"/>
          <w:sz w:val="24"/>
          <w:szCs w:val="24"/>
        </w:rPr>
        <w:br/>
        <w:t xml:space="preserve">bizonyítjuk.</w:t>
      </w:r>
      <w:r>
        <w:rPr>
          <w:color w:val="000000"/>
          <w:sz w:val="24"/>
          <w:szCs w:val="24"/>
        </w:rPr>
        <w:br/>
        <w:t xml:space="preserve">A kapott eredményeket numerikus szimulációkkal vizualizáljuk. A bifurkációs eredmények bi-</w:t>
      </w:r>
      <w:r>
        <w:rPr>
          <w:color w:val="000000"/>
          <w:sz w:val="24"/>
          <w:szCs w:val="24"/>
        </w:rPr>
        <w:br/>
        <w:t xml:space="preserve">zonyítása során alkalmazott tételeket a dolgozat Függelékben írtuk le részletesen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732618">
    <w:multiLevelType w:val="hybridMultilevel"/>
    <w:lvl w:ilvl="0" w:tplc="55168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732618">
    <w:abstractNumId w:val="677326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513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