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GYULAI-SÁRDI DIÁNA</w:t>
            </w:r>
          </w:p>
          <w:p w:rsidR="00C275A3" w:rsidRDefault="00186641" w:rsidP="00C275A3">
            <w:pPr>
              <w:pStyle w:val="Hallgatokepzes"/>
            </w:pPr>
            <w:r w:rsidRPr="002361E2">
              <w:rPr>
                <w:i/>
              </w:rPr>
              <w:t>sardidiana77@gmail.com</w:t>
            </w:r>
            <w:r w:rsidRPr="002361E2">
              <w:rPr>
                <w:i/>
              </w:rPr>
              <w:br/>
            </w:r>
            <w:r w:rsidR="00A96AEC">
              <w:t>Fizika</w:t>
            </w:r>
            <w:r w:rsidR="00A96AEC">
              <w:br/>
            </w:r>
            <w:r w:rsidR="00E77B23">
              <w:t>BSc, 7.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Fröhlich Georgina</w:t>
            </w:r>
          </w:p>
          <w:p w:rsidR="00DB4822" w:rsidRDefault="00DB4822" w:rsidP="009763E0">
            <w:pPr>
              <w:pStyle w:val="Konzulensektitulus"/>
            </w:pPr>
            <w:r w:rsidRPr="00DB4822">
              <w:t>fizikus,  Országos Onkológiai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szomszédos forrásmegállási idők szabályozásának hatása a dózistervek homogenitására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Célkitűzés:</w:t>
      </w:r>
      <w:r>
        <w:rPr>
          <w:color w:val="000000"/>
          <w:sz w:val="24"/>
          <w:szCs w:val="24"/>
        </w:rPr>
        <w:br/>
        <w:t xml:space="preserve">A szomszédos megállási időket szabályozó ún. DTGR (Dwell Time Gradient Restriction) faktor hatásának vizsgálata a Dózishomogenitási indexre (DHI) prosztatadaganatos betegek nagy dózisteljesítményű brachyterápiás kezelése során.</w:t>
      </w:r>
    </w:p>
    <w:p>
      <w:pPr>
        <w:widowControl w:val="on"/>
        <w:pBdr/>
        <w:spacing w:before="240" w:after="240" w:line="240" w:lineRule="auto"/>
        <w:ind w:left="0" w:right="0"/>
        <w:jc w:val="left"/>
      </w:pPr>
      <w:r>
        <w:rPr>
          <w:color w:val="000000"/>
          <w:sz w:val="24"/>
          <w:szCs w:val="24"/>
        </w:rPr>
        <w:br/>
        <w:t xml:space="preserve">Módszerek:</w:t>
      </w:r>
      <w:r>
        <w:rPr>
          <w:color w:val="000000"/>
          <w:sz w:val="24"/>
          <w:szCs w:val="24"/>
        </w:rPr>
        <w:br/>
        <w:t xml:space="preserve">Az Országos Onkológiai Intézet Sugárterápiás Központjában nagy dózisteljesítményű szövetközi brachyterápiával kezelt 24 prosztatarákos beteg besugárzási tervét vizsgáltam. Alternatív kezelési terveket készitettem an ún. HIPO (Hybrid Inverse Planning Optimization) dózistérfogat alapú inverz optimalizációs algoritmus segítségével. A sugárforrás szomszédos megállásiidőit szabályozó DTGR faktort 0,0-1,0 között 0,1-es lépésközzel változtatva újraoptimalizáltam a</w:t>
      </w:r>
      <w:r>
        <w:rPr>
          <w:color w:val="000000"/>
          <w:sz w:val="24"/>
          <w:szCs w:val="24"/>
        </w:rPr>
        <w:br/>
        <w:t xml:space="preserve">terveket, majd vizsgáltam a dózis-térfogat paraméterekre és tervminőségi indexekre gyakorolt hatást.</w:t>
      </w:r>
    </w:p>
    <w:p>
      <w:pPr>
        <w:widowControl w:val="on"/>
        <w:pBdr/>
        <w:spacing w:before="240" w:after="240" w:line="240" w:lineRule="auto"/>
        <w:ind w:left="0" w:right="0"/>
        <w:jc w:val="left"/>
      </w:pPr>
      <w:r>
        <w:rPr>
          <w:color w:val="000000"/>
          <w:sz w:val="24"/>
          <w:szCs w:val="24"/>
        </w:rPr>
        <w:br/>
        <w:t xml:space="preserve">Eredmények:</w:t>
      </w:r>
      <w:r>
        <w:rPr>
          <w:color w:val="000000"/>
          <w:sz w:val="24"/>
          <w:szCs w:val="24"/>
        </w:rPr>
        <w:br/>
        <w:t xml:space="preserve">A legtöbb esetben a DTGR 0,0 értéknél tapasztaltam a leghomogénebb dózistervet (DHI = 0,69). A DTGR növelésével csökken a DHI értéke, tehát romlik a dózishomogenitás. A 0,9-es DTGR-érték eredményezi a leginhomogénebb tervet, ott a DHI átlagosan csak 0,66.</w:t>
      </w:r>
    </w:p>
    <w:p>
      <w:pPr>
        <w:widowControl w:val="on"/>
        <w:pBdr/>
        <w:spacing w:before="240" w:after="240" w:line="240" w:lineRule="auto"/>
        <w:ind w:left="0" w:right="0"/>
        <w:jc w:val="left"/>
      </w:pPr>
      <w:r>
        <w:rPr>
          <w:color w:val="000000"/>
          <w:sz w:val="24"/>
          <w:szCs w:val="24"/>
        </w:rPr>
        <w:br/>
        <w:t xml:space="preserve">Következtetés:</w:t>
      </w:r>
      <w:r>
        <w:rPr>
          <w:color w:val="000000"/>
          <w:sz w:val="24"/>
          <w:szCs w:val="24"/>
        </w:rPr>
        <w:br/>
        <w:t xml:space="preserve">A dózishomogenitás növelésére készült algoritmus nagyobb fokú megszoritása a várt hatással ellentétben a homogenitás csökkenését eredményezte prosztatadaganatos betegek nagy dózisteljesítményű szövetközi brachyterápiájában. A DTGR növelésével az inverz dózisoptimalizáló algoritmus kevesebb lehetőséget kap a forrás megállási idők optimalizálására, így inhomogénebb dózistervet eredményez.</w:t>
      </w:r>
      <w:r>
        <w:rPr>
          <w:color w:val="000000"/>
          <w:sz w:val="24"/>
          <w:szCs w:val="24"/>
        </w:rPr>
        <w:br/>
        <w:t xml:space="preserve">Bár a DTGR 0,0 értéke eredményezi a legnagyobb a homogenitást, így ez lenne az optimális választás, a klinikai rutinban mégsem ezt érdemes használni, mert ha egyáltalán nem szorítjuk meg a szomszédos megállási időket, akkor az inverz dózisoptimalizáló algoritmus nagyon különböző, kiugró megállási időket eredményezhet egymás mellett. Ez pedig a beteg anatómiájának kis változásnál, (pl. hugyhólyag megtelésével) nagy hibát eredményezhet. Mindezeket figyelembe véve a 0,1 DTGRértéket ajánlom használni a klinikai rutin dózistervezésében.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426585">
    <w:multiLevelType w:val="hybridMultilevel"/>
    <w:lvl w:ilvl="0" w:tplc="72785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426585">
    <w:abstractNumId w:val="994265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3002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