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SZARKA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szarka.lev.10@gmail.com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 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Biokémiai modellek implementációja ágens alapú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számítógépes modellezés és szimuláció napjainkban egyre fontosabb</w:t>
      </w:r>
      <w:r>
        <w:rPr>
          <w:color w:val="000000"/>
          <w:sz w:val="24"/>
          <w:szCs w:val="24"/>
        </w:rPr>
        <w:br/>
        <w:t xml:space="preserve">szerepet tölt be a biológiai kutatások, többek között a sejtbiológia</w:t>
      </w:r>
      <w:r>
        <w:rPr>
          <w:color w:val="000000"/>
          <w:sz w:val="24"/>
          <w:szCs w:val="24"/>
        </w:rPr>
        <w:br/>
        <w:t xml:space="preserve">területén alkalmazott kísérletek támogatásában. Mivel a valós biológia</w:t>
      </w:r>
      <w:r>
        <w:rPr>
          <w:color w:val="000000"/>
          <w:sz w:val="24"/>
          <w:szCs w:val="24"/>
        </w:rPr>
        <w:br/>
        <w:t xml:space="preserve">(in vivo vagy in vitro) kísérletek gyakran meglehetősen időigényesek,</w:t>
      </w:r>
      <w:r>
        <w:rPr>
          <w:color w:val="000000"/>
          <w:sz w:val="24"/>
          <w:szCs w:val="24"/>
        </w:rPr>
        <w:br/>
        <w:t xml:space="preserve">egy jól felépített in silico modell ötletet adhat a valós kísérletek</w:t>
      </w:r>
      <w:r>
        <w:rPr>
          <w:color w:val="000000"/>
          <w:sz w:val="24"/>
          <w:szCs w:val="24"/>
        </w:rPr>
        <w:br/>
        <w:t xml:space="preserve">megtervezéséhez, illetve a segítségével választ kaphatunk olyan</w:t>
      </w:r>
      <w:r>
        <w:rPr>
          <w:color w:val="000000"/>
          <w:sz w:val="24"/>
          <w:szCs w:val="24"/>
        </w:rPr>
        <w:br/>
        <w:t xml:space="preserve">kérdésekre, amelyek a valóságban körülményesen megfigyelhető jellemzőkkel</w:t>
      </w:r>
      <w:r>
        <w:rPr>
          <w:color w:val="000000"/>
          <w:sz w:val="24"/>
          <w:szCs w:val="24"/>
        </w:rPr>
        <w:br/>
        <w:t xml:space="preserve">állnak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egy olyan ágensalapú számítógépes modell létrehozása,</w:t>
      </w:r>
      <w:r>
        <w:rPr>
          <w:color w:val="000000"/>
          <w:sz w:val="24"/>
          <w:szCs w:val="24"/>
        </w:rPr>
        <w:br/>
        <w:t xml:space="preserve">amelyben a sejteket reprezentáló ágensek különféle környezeti feltételek</w:t>
      </w:r>
      <w:r>
        <w:rPr>
          <w:color w:val="000000"/>
          <w:sz w:val="24"/>
          <w:szCs w:val="24"/>
        </w:rPr>
        <w:br/>
        <w:t xml:space="preserve">mellett (pl. eltérő mennyiségű tápanyag adagolásakor) megfigyelhető</w:t>
      </w:r>
      <w:r>
        <w:rPr>
          <w:color w:val="000000"/>
          <w:sz w:val="24"/>
          <w:szCs w:val="24"/>
        </w:rPr>
        <w:br/>
        <w:t xml:space="preserve">osztódási és mozgási mintázatait lehetséges vizsgálni. A modellezett in</w:t>
      </w:r>
      <w:r>
        <w:rPr>
          <w:color w:val="000000"/>
          <w:sz w:val="24"/>
          <w:szCs w:val="24"/>
        </w:rPr>
        <w:br/>
        <w:t xml:space="preserve">vitro (tenyésztőedényben indított) kísérletek során a sejtek eltérő</w:t>
      </w:r>
      <w:r>
        <w:rPr>
          <w:color w:val="000000"/>
          <w:sz w:val="24"/>
          <w:szCs w:val="24"/>
        </w:rPr>
        <w:br/>
        <w:t xml:space="preserve">tápanyagszintek melletti növekedési kinetikáját vizsgáltuk. Modellemben</w:t>
      </w:r>
      <w:r>
        <w:rPr>
          <w:color w:val="000000"/>
          <w:sz w:val="24"/>
          <w:szCs w:val="24"/>
        </w:rPr>
        <w:br/>
        <w:t xml:space="preserve">az ágensek mozgását és növekedését belső szabályrendszerük irányítja,</w:t>
      </w:r>
      <w:r>
        <w:rPr>
          <w:color w:val="000000"/>
          <w:sz w:val="24"/>
          <w:szCs w:val="24"/>
        </w:rPr>
        <w:br/>
        <w:t xml:space="preserve">amelyre közvetetten hatással van a környezetükben található tápanyag</w:t>
      </w:r>
      <w:r>
        <w:rPr>
          <w:color w:val="000000"/>
          <w:sz w:val="24"/>
          <w:szCs w:val="24"/>
        </w:rPr>
        <w:br/>
        <w:t xml:space="preserve">koncentrációja is. Az ágensek anyagcseréjének (tápanyagfelvételének</w:t>
      </w:r>
      <w:r>
        <w:rPr>
          <w:color w:val="000000"/>
          <w:sz w:val="24"/>
          <w:szCs w:val="24"/>
        </w:rPr>
        <w:br/>
        <w:t xml:space="preserve">és -felhasználásának) leírására egy formális reakcióegyenletekkel</w:t>
      </w:r>
      <w:r>
        <w:rPr>
          <w:color w:val="000000"/>
          <w:sz w:val="24"/>
          <w:szCs w:val="24"/>
        </w:rPr>
        <w:br/>
        <w:t xml:space="preserve">megadott egyszerű anyagcsere-modellt írtam fel, a mechanikai</w:t>
      </w:r>
      <w:r>
        <w:rPr>
          <w:color w:val="000000"/>
          <w:sz w:val="24"/>
          <w:szCs w:val="24"/>
        </w:rPr>
        <w:br/>
        <w:t xml:space="preserve">kölcsönhatások szimulációjához szükséges numerikus eljárásokat pedig</w:t>
      </w:r>
      <w:r>
        <w:rPr>
          <w:color w:val="000000"/>
          <w:sz w:val="24"/>
          <w:szCs w:val="24"/>
        </w:rPr>
        <w:br/>
        <w:t xml:space="preserve">masszívan párhuzamos környezetben is implementáltam. A modell bemeneti</w:t>
      </w:r>
      <w:r>
        <w:rPr>
          <w:color w:val="000000"/>
          <w:sz w:val="24"/>
          <w:szCs w:val="24"/>
        </w:rPr>
        <w:br/>
        <w:t xml:space="preserve">paramétereit a sejtes kísérletek mikroszkópos felvételeinek elemzésével,</w:t>
      </w:r>
      <w:r>
        <w:rPr>
          <w:color w:val="000000"/>
          <w:sz w:val="24"/>
          <w:szCs w:val="24"/>
        </w:rPr>
        <w:br/>
        <w:t xml:space="preserve">az ezekből meghatározott idősoros adatok alapján becsültem.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szimulációs eredmények alapján kijelenthető, hogy a megalkotott</w:t>
      </w:r>
      <w:r>
        <w:rPr>
          <w:color w:val="000000"/>
          <w:sz w:val="24"/>
          <w:szCs w:val="24"/>
        </w:rPr>
        <w:br/>
        <w:t xml:space="preserve">modell képes leírni a valóságban megfigyelhető, tápanyag-koncentrációtól</w:t>
      </w:r>
      <w:r>
        <w:rPr>
          <w:color w:val="000000"/>
          <w:sz w:val="24"/>
          <w:szCs w:val="24"/>
        </w:rPr>
        <w:br/>
        <w:t xml:space="preserve">függő növekedési dinamikát, valamint a sejtek tápanyagforrás irányába</w:t>
      </w:r>
      <w:r>
        <w:rPr>
          <w:color w:val="000000"/>
          <w:sz w:val="24"/>
          <w:szCs w:val="24"/>
        </w:rPr>
        <w:br/>
        <w:t xml:space="preserve">történő mozgási mintázatát. A jövőben a modell bővítésével lehetőség</w:t>
      </w:r>
      <w:r>
        <w:rPr>
          <w:color w:val="000000"/>
          <w:sz w:val="24"/>
          <w:szCs w:val="24"/>
        </w:rPr>
        <w:br/>
        <w:t xml:space="preserve">nyílhat bonyolultabb kísérleti elrendezések, illetve egy</w:t>
      </w:r>
      <w:r>
        <w:rPr>
          <w:color w:val="000000"/>
          <w:sz w:val="24"/>
          <w:szCs w:val="24"/>
        </w:rPr>
        <w:br/>
        <w:t xml:space="preserve">tenyésztőedényen belül különböző típusú sejtpopulációk egymásra</w:t>
      </w:r>
      <w:r>
        <w:rPr>
          <w:color w:val="000000"/>
          <w:sz w:val="24"/>
          <w:szCs w:val="24"/>
        </w:rPr>
        <w:br/>
        <w:t xml:space="preserve">hatásának vizsgálatára.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819031">
    <w:multiLevelType w:val="hybridMultilevel"/>
    <w:lvl w:ilvl="0" w:tplc="12759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819031">
    <w:abstractNumId w:val="918190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714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