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ALBERT MOLNAR</w:t>
            </w:r>
          </w:p>
          <w:p w:rsidR="00C275A3" w:rsidRDefault="00186641" w:rsidP="00C275A3">
            <w:pPr>
              <w:pStyle w:val="Hallgatokepzes"/>
            </w:pPr>
            <w:r w:rsidRPr="002361E2">
              <w:rPr>
                <w:i/>
              </w:rPr>
              <w:t>treblaranlom@gmail.com</w:t>
            </w:r>
            <w:r w:rsidRPr="002361E2">
              <w:rPr>
                <w:i/>
              </w:rPr>
              <w:br/>
            </w:r>
            <w:r w:rsidR="00A96AEC">
              <w:t>Business Development (MSc)</w:t>
            </w:r>
            <w:r w:rsidR="00A96AEC">
              <w:br/>
            </w:r>
            <w:r w:rsidR="00E77B23">
              <w:t>BSc, 6.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Csiszárik-Kocsir</w:t>
            </w:r>
          </w:p>
          <w:p w:rsidR="00DB4822" w:rsidRDefault="00DB4822" w:rsidP="009763E0">
            <w:pPr>
              <w:pStyle w:val="Konzulensektitulus"/>
            </w:pPr>
            <w:r w:rsidRPr="00DB4822">
              <w:t>Associate Professor, Head of Department, Vice-Dean for Research,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Pénzügyi Válságok Előrejelzése Korai Előrejelző Rendszerekkel: A Gazdaságpolitika végrehajtása a posztpandémiás világban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Central banks have bloated their balance sheets by lowering interest rates, buying up corporate debt, issuing helicopter money, and quantitative easing programs, thereby increasing systemic risk. In the period between 1970-2017, there were 151 banking crises 236 currency crises, and 74 sovereign crises globally (Laeven and Valencia, p-3, 2018). Cumulative losses from banking and twin crises are notoriously higher in OECD countries than in emerging economies (Davis and Dilruba, 2008). The many economic imbalances created by the two recent global crises: The Great Recession and the COVID-19 Recession have, yet again alerted economists and experts of the importance of measures of financial condition and early warning systems (EWSs).</w:t>
      </w:r>
    </w:p>
    <w:p>
      <w:pPr>
        <w:widowControl w:val="on"/>
        <w:pBdr/>
        <w:spacing w:before="240" w:after="240" w:line="240" w:lineRule="auto"/>
        <w:ind w:left="0" w:right="0"/>
        <w:jc w:val="left"/>
      </w:pPr>
      <w:r>
        <w:rPr>
          <w:color w:val="000000"/>
          <w:sz w:val="24"/>
          <w:szCs w:val="24"/>
        </w:rPr>
        <w:br/>
        <w:t xml:space="preserve">The postulates of the research paper infer that since expansions and recessions move in a cyclical manner, their further movements are inherently predictable, therefore there exists a set of macroeconomic indicators that shows that the economy is heading into a recession before it is evident on the broader market. An extensive literature on EWSs presented methods ranging from panel logit to binary recursive trees’ estimators, all of which have been successful in predicting crises in terms of type I and type II errors. This research paper aims to find a list of indicators capable of predicting crisis episodes in Eastern European Emerging markets, particularly in the V4 countries.</w:t>
      </w:r>
    </w:p>
    <w:p>
      <w:pPr>
        <w:widowControl w:val="on"/>
        <w:pBdr/>
        <w:spacing w:before="240" w:after="240" w:line="240" w:lineRule="auto"/>
        <w:ind w:left="0" w:right="0"/>
        <w:jc w:val="left"/>
      </w:pPr>
      <w:r>
        <w:rPr>
          <w:color w:val="000000"/>
          <w:sz w:val="24"/>
          <w:szCs w:val="24"/>
        </w:rPr>
        <w:t xml:space="preserve">The objective of the research paper is to identify the disadvantages of a mechanistic approach of EWSs provided by the ECB, update the literature on EWSs with contributors analyzing the predictability of crises in developed economies and post-soviet countries and examine the methods of signal extraction, cross-spectral analysis, composite leading indicators, thereby, expanding the scope of previously conducted researches. We will apply them to a pre-determined set of indicators to evaluate their predictive power. The work methodology involves a qualitative and quantitative approach to determining the best economic indicators capable of forecasting crises. In addition to an algorithm for the three main methods of EWS estimation, a MATLAB program will enhance the predictive capabilities by applying machine learning and neural networks. The contribution of such a research paper would be that of an independent forecasting system that would give an estimate of the likelihood of a recession.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09275">
    <w:multiLevelType w:val="hybridMultilevel"/>
    <w:lvl w:ilvl="0" w:tplc="57216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09275">
    <w:abstractNumId w:val="57809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509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