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BORSÓ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borsojanka@gmail.com</w:t>
            </w:r>
            <w:r w:rsidRPr="001067CD">
              <w:rPr>
                <w:i/>
              </w:rPr>
              <w:br/>
            </w:r>
            <w:r w:rsidR="00A96AEC">
              <w:t>kémia alapképzés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Turányi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Laboratóriumi kerozinégetési kísérletek számítógépes szimulációja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Kerozin égése; NOx csökkentés; Jólkevert reaktor; Számítógépes szimulációk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Környezetvédelmi szempontból nagyon fontos jó hatásfokú és alacsony szennyezőkibocsátású égetőberendezések fejlesztése. A Józsa Viktor és kutatócsoportja (BME Energetikai Gépek és Rendszerek Tanszék) által kifejlesztett keverék- és hőmérsékletszabályozott (KHSZ) [1] égetőberendezés ilyennek bizonyult a mérési adataik alapján. Munkám célja az volt, hogy szimulációkkal alátámasszuk az általuk mért laboratóriumi mérési eredményeket, és jobban megismerjük a koncepcióban rejlő lehetőségeket. A vizsgált mérésekben tüzelőanyagként JP-8 szabvány szerinti kerozint alkalmaztak.</w:t>
      </w:r>
      <w:r>
        <w:rPr>
          <w:color w:val="000000"/>
          <w:sz w:val="24"/>
          <w:szCs w:val="24"/>
        </w:rPr>
        <w:br/>
        <w:t xml:space="preserve">A szimulációkhoz az OpenSMOKE++ [2] programot használtam. A számítások alapja a JP-8 kerozin égését a HyChem [3] megközelítéssel leíró részletes reakciómechanizmus volt. A nitrogén-monoxid kibocsátásának számításához az alkalmazott mechanizmus tartalmazta a Glarborg-féle NOx-részmechanizmust is [4]. Az egyesített mechanizmus 201 anyagfajtát és 1589 reakciólépést tartalmaz.</w:t>
      </w:r>
      <w:r>
        <w:rPr>
          <w:color w:val="000000"/>
          <w:sz w:val="24"/>
          <w:szCs w:val="24"/>
        </w:rPr>
        <w:br/>
        <w:t xml:space="preserve">Első számításaimból kiderült, hogy a jólkevert-reaktor (PSR) modell alkalmazható ennek az égetőberendezésnek a leírására, azonban az égőtérnek nem a teljes térfogatában megy végbe a homogén oxidáció. Hővesztesség nélküli égetőberendezés feltételezésével nem tudtam visszakapni a mért füstgáz-koncentrációkat, de a hőveszteséget is figyelembe véve sokkal reálisabb füstgáz-összetételt számítottam. A számítási és mérési eredmények továbbra is eltértek egymástól a szén-monoxid koncentráció esetén, ezért szisztematikusan megvizsgáltam az égetőberendezés egyes paraméterei megváltoztatásának hatását. A tartózkodási idő változtatása bizonyult a leghatásosabbnak, így sikerült a mért koncentrációkhoz hasonló számított értékeket kapnom.</w:t>
      </w:r>
      <w:r>
        <w:rPr>
          <w:color w:val="000000"/>
          <w:sz w:val="24"/>
          <w:szCs w:val="24"/>
        </w:rPr>
        <w:br/>
        <w:t xml:space="preserve">Az égetőberendezés gyakorlati alkalmazhatóságának jobb megértéséért további szimulációkat végeztem. Először izoterm körülmények között vizsgáltam a kimenő CO és NO móltörteket az égetőberendezés hőmérséklete változásának függvényében, majd az égetőberendezés nyomása változtatásának hatását vizsgáltam a reaktor hőmérsékletére és a füstgáz összetételére. Ez utóbbi különösen fontos lehet, ha a KHSZ-elvet ipari és repülőgép-gázturbinákban akarják alkalmazni.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Józsa, V., Fuel, 291, 120200 (2021)</w:t>
      </w:r>
      <w:r>
        <w:rPr>
          <w:color w:val="000000"/>
          <w:sz w:val="24"/>
          <w:szCs w:val="24"/>
        </w:rPr>
        <w:br/>
        <w:t xml:space="preserve">[2] Cuoci, A., Computer Physics Communications 192, 237–264 (2015)</w:t>
      </w:r>
      <w:r>
        <w:rPr>
          <w:color w:val="000000"/>
          <w:sz w:val="24"/>
          <w:szCs w:val="24"/>
        </w:rPr>
        <w:br/>
        <w:t xml:space="preserve">[3] Xu, R., Combustion and Flame 193, 520–537 (2018)</w:t>
      </w:r>
      <w:r>
        <w:rPr>
          <w:color w:val="000000"/>
          <w:sz w:val="24"/>
          <w:szCs w:val="24"/>
        </w:rPr>
        <w:br/>
        <w:t xml:space="preserve">[4] Glarborg, P., Progress in Energy and Combustion Science 67, 31–68 (2018)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49700">
    <w:multiLevelType w:val="hybridMultilevel"/>
    <w:lvl w:ilvl="0" w:tplc="65634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49700">
    <w:abstractNumId w:val="295497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357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