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BALÁZS BARTALIS</w:t>
            </w:r>
          </w:p>
          <w:p w:rsidR="00C275A3" w:rsidRDefault="00186641" w:rsidP="00C275A3">
            <w:pPr>
              <w:pStyle w:val="Hallgatokepzes"/>
            </w:pPr>
            <w:r w:rsidRPr="002361E2">
              <w:rPr>
                <w:i/>
              </w:rPr>
              <w:t>bartalis.balazs@gmail.com</w:t>
            </w:r>
            <w:r w:rsidRPr="002361E2">
              <w:rPr>
                <w:i/>
              </w:rPr>
              <w:br/>
            </w:r>
            <w:r w:rsidR="00A96AEC">
              <w:t>Managemenet</w:t>
            </w:r>
            <w:r w:rsidR="00A96AEC">
              <w:br/>
            </w:r>
            <w:r w:rsidR="00E77B23">
              <w:t>BA, 6.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Levente Szász</w:t>
            </w:r>
          </w:p>
          <w:p w:rsidR="00DB4822" w:rsidRDefault="00DB4822" w:rsidP="009763E0">
            <w:pPr>
              <w:pStyle w:val="Konzulensektitulus"/>
            </w:pPr>
            <w:r w:rsidRPr="00DB4822">
              <w:t>professor,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Impact assessment of the use of robotics and smart mulching in the agronomist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the thesis is the examination of the advantages and disadvantages of smart technologies and robotization in agriculture, mainly focusing on the area of milk production. In the thesis, I’ve taken the case of a dairy company into account and examined how new technologies, especially the introduction of smart technologies, influence the development of the company, what difficulties may or may not face the company's management, and what advantages the company enjoys when using these technologies. During the research, it was important to examine how the newly introduced technology affects the tasks of human resources. The thesis examines the given topic using the case study method, which was based on an in-depth interview with the company's manager as well as data provided by the company. Through this thesis, we get a realistic picture of the effects of automation on a business operating in the central region of Romania in 2020–2021.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13687">
    <w:multiLevelType w:val="hybridMultilevel"/>
    <w:lvl w:ilvl="0" w:tplc="764030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13687">
    <w:abstractNumId w:val="293136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35545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