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JÚLIA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jakab.juli3@gmail.com</w:t>
            </w:r>
            <w:r w:rsidRPr="002361E2">
              <w:rPr>
                <w:i/>
              </w:rPr>
              <w:br/>
            </w:r>
            <w:r w:rsidR="00A96AEC">
              <w:t>magyar nyelv- és irodalomtudományok, német nyelv- és irodalomtudományok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Kísértetiesség, radikális természet- és szubjektumábrázolás Czóbel Minka szövegvilágában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19. század végén, 20. század elején tevékenykedő Czóbel Minka egyfajta fantom-szerző, maga az életmű is kísértetszerű, ugyanis időről időre felbukkan az elemzésekben, melyek folyton azt sugallják, hogy be kellene kerülnie a kánonba, ennek ellenére mégsem történik meg a rekanonizációja. Ugyan a felélénkülő Czóbel-olvasás külön-külön vizsgálja a lírát és a prózát, a szövegek együttes értelmezése ezidáig nem történt meg.</w:t>
      </w:r>
      <w:r>
        <w:rPr>
          <w:color w:val="000000"/>
          <w:sz w:val="24"/>
          <w:szCs w:val="24"/>
        </w:rPr>
        <w:br/>
        <w:t xml:space="preserve">   Kutatásom célja kettős: egyrészt filológiai tétje a korabeli periodikákban fellelhető zárvány-szövegek egybegyűjtése, ezáltal pedig minél nagyobb – az eddigiekhez képest kevésbé ismert – korpusz segítségével Czóbel líra és prózapoétikájának közös keretben való értelmezése. Másrészt az előadásom azt ajánlja, hogy a gótikus és a kísérteties felől olvassuk újra a Czóbel-életművet. Azt vizsgálom, hogy Czóbel Minka modern kísérletezése a kísértetiességgel hogyan alakítja át szövegeiben radikális módon az ember- és tájszemléletet, ezáltal pedig miként teszi kérdésessé az identitást, illetve a megismerést és a térben való tájékozódást.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121236">
    <w:multiLevelType w:val="hybridMultilevel"/>
    <w:lvl w:ilvl="0" w:tplc="52664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121236">
    <w:abstractNumId w:val="18121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238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