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VÉN-VINCEFFY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vv.anna@yahoo.com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képzőművészeti alkotások a sepsiszentgyörgyi Szent Gellért- és Krisztus Király-templomban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Mennyre nyíló ablakok</w:t>
      </w:r>
      <w:r>
        <w:rPr>
          <w:color w:val="000000"/>
          <w:sz w:val="24"/>
          <w:szCs w:val="24"/>
        </w:rPr>
        <w:br/>
        <w:t xml:space="preserve">Kortárs képzőművészeti alkotások a sepsiszentgyörgyi</w:t>
      </w:r>
      <w:r>
        <w:rPr>
          <w:color w:val="000000"/>
          <w:sz w:val="24"/>
          <w:szCs w:val="24"/>
        </w:rPr>
        <w:br/>
        <w:t xml:space="preserve">Szent Gellért- és Krisztus Király-templomban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égi és a földi szféra metszéspontjaként a templomokban található képzőművészeti alkotások mintegy hidat képeznek a transzcendens és az immanens világ között. Didaktikus egyértelműség és misztikus elvontság közti finom határvonalon egyensúlyoznak a sepsiszentgyörgyi Szent Gellért- és Krisztus Király-templomban található munkák is. Ebben a két 20-21. század fordulóján épült római katolikus templomban egyaránt mutatkozik meg a geometrikus és a szürreális formák misztikuma valamint a tradíciókeresés, a katolikus egyház és a hívők hagyománytisztelete. A Szent Gellért-templomban Jecza Péter és Hervai Zoltán alkotásai kaptak helyet, míg a Krisztus Király-templomban Hervai Katalin munkái figyelhetők meg. Amellett, hogy a műalkotások a transzcendens misztérium megmutatására törekednek, mindekét templomban megfigyelhető a magyar szentek hangsúlyos jelenléte. Míg a korábban épült Szent Gellért-templom titulusa utal az államszocializmussal való szembeszállásra, a katolikus hit terjesztésének jelentősége, addig Hervai Katalin szentképei a rendszerváltást követő nemzeti érzület megerősödésével függenek össze. A tanulmány célja, hogy bekapcsolja a templomokban található stációkat, szentképeket, oltárképeket a sepsiszentgyörgyi születésű művészek eddigi életművébe. A templom szakrális közege olyan sajátos kontextusba helyezi a képzőművészeti alkotásokat, ami által elengedhetetlenné válik, hogy a munkákat ebben a környezetben vizsgáljam. Az alkotások részletes elemzése, a lehetséges ikonográfiai minták keresése mellett, tehát különös figyelemmel követem, azt hogy miként rezonálnak a munkák a templom belső terével, hogyan illeszkednek be ebbe a világba.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60238">
    <w:multiLevelType w:val="hybridMultilevel"/>
    <w:lvl w:ilvl="0" w:tplc="10659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60238">
    <w:abstractNumId w:val="81960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72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