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KOPPÁNY</w:t>
            </w:r>
          </w:p>
          <w:p w:rsidR="00C275A3" w:rsidRDefault="00186641" w:rsidP="00C275A3">
            <w:pPr>
              <w:pStyle w:val="Hallgatokepzes"/>
            </w:pPr>
            <w:r w:rsidRPr="002361E2">
              <w:rPr>
                <w:i/>
              </w:rPr>
              <w:t>koppany.mate18@gmail.com</w:t>
            </w:r>
            <w:r w:rsidRPr="002361E2">
              <w:rPr>
                <w:i/>
              </w:rPr>
              <w:br/>
            </w:r>
            <w:r w:rsidR="00A96AEC">
              <w:t>Finance and accounting</w:t>
            </w:r>
            <w:r w:rsidR="00A96AEC">
              <w:br/>
            </w:r>
            <w:r w:rsidR="00E77B23">
              <w:t>BSc,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Deliné Dr. Pálinkó Éva</w:t>
            </w:r>
          </w:p>
          <w:p w:rsidR="00DB4822" w:rsidRDefault="00DB4822" w:rsidP="009763E0">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Business valuation of an international M&amp;A transaction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topic of the thesis is the analysis of  an M&amp;A transactions in an international market by corporate valuation, illustrated through a specific example, which was concluded in the American market between the American subsidiary of the Telekom group (Tmobile US) and (the American) Sprint Corporation. Due to this, the hypothesis we are looking for an answer to during this thesis is whether you understand the 26.5 billion euro acquisition of the target company, and who is the winner of the transaction? To answer the hypothesis, we used the the most relevant evaluation tool, while considering the main decision, we calculated the results with the help of the discounted cash flow model, in which we also applied the FCF/WACC method. We used A. Damodaran's M&amp;A evaluation strategy, by using it we separately evaluated the acquiring company, the target company (going concern), and the hypothetical company from the possible merger, which assumes the merger of the two companies. by incorporating synergies and control. In addition to these, the results are also supported by alternative evaluation methods (Relative, event analysis). During the evaluation, we worked with the data of the financial statements and drew conclusions from them. In the thesis, after the evaluation draft (Chapter 2), a separate analysis is made based on historical financial indicators of both Sprint (Chapter 3) and Deutsche Telekom AG (The Telekom Group was evaluated at the consolidation level) and then the subsirary's value was extracted from it ( Telekom US) value (Chapter 4). the cash flow forecast is derived from this analysis. Then the theoretical background of the determination of the weighted average cost of capital will be presented, as well as the illustration of the calculations for all three cases (Acquirer, Target company, Merged company) (Chapter 5). After this, the final part of the evaluation is the estimation of the residual value, illustrated for each case (Chapter 6). By defining the necessary parameters, we discuss the summary of the calculations in chapter 7, and then in chapter 8 we support our conclusions with alternative models. As a result of the thesis, we can draw the conclusion to our hypothesis that the transaction was worth 26.5 billion euros for the Telekom group, and that both companies were the winners of the transaction.</w:t>
      </w:r>
    </w:p>
    <w:p>
      <w:pPr>
        <w:widowControl w:val="on"/>
        <w:pBdr/>
        <w:spacing w:before="240" w:after="240" w:line="240" w:lineRule="auto"/>
        <w:ind w:left="0" w:right="0"/>
        <w:jc w:val="left"/>
      </w:pPr>
      <w:r>
        <w:rPr>
          <w:color w:val="000000"/>
          <w:sz w:val="24"/>
          <w:szCs w:val="24"/>
        </w:rPr>
        <w:t xml:space="preserve">Keywords: Company valuation, M&amp;A, DCF, Sprint, Telekom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59096">
    <w:multiLevelType w:val="hybridMultilevel"/>
    <w:lvl w:ilvl="0" w:tplc="59885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59096">
    <w:abstractNumId w:val="315590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648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