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MARY HATON-BAKA BAAH</w:t>
            </w:r>
          </w:p>
          <w:p w:rsidR="00C275A3" w:rsidRDefault="00186641" w:rsidP="00C275A3">
            <w:pPr>
              <w:pStyle w:val="Hallgatokepzes"/>
            </w:pPr>
            <w:r w:rsidRPr="002361E2">
              <w:rPr>
                <w:i/>
              </w:rPr>
              <w:t>mhbaah@hotmail.com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Bagoly Zsuzsa</w:t>
            </w:r>
          </w:p>
          <w:p w:rsidR="00DB4822" w:rsidRDefault="00DB4822" w:rsidP="009763E0">
            <w:pPr>
              <w:pStyle w:val="Konzulensektitulus"/>
            </w:pPr>
            <w:r w:rsidRPr="00DB4822">
              <w:t>egyetemi docens, DE ÁOK</w:t>
            </w:r>
          </w:p>
        </w:tc>
      </w:tr>
      <w:tr w:rsidR="00DB4822" w:rsidTr="00DB4822">
        <w:tc>
          <w:tcPr>
            <w:tcW w:w="9854" w:type="dxa"/>
          </w:tcPr>
          <w:p w:rsidR="00DB4822" w:rsidRPr="00DB4822" w:rsidRDefault="00DB4822" w:rsidP="009763E0">
            <w:pPr>
              <w:pStyle w:val="Konzulenseknev"/>
            </w:pPr>
            <w:r w:rsidRPr="00DB4822">
              <w:t>Lóczi Linda</w:t>
            </w:r>
          </w:p>
          <w:p w:rsidR="00DB4822" w:rsidRDefault="00DB4822" w:rsidP="009763E0">
            <w:pPr>
              <w:pStyle w:val="Konzulensektitulus"/>
            </w:pPr>
            <w:r w:rsidRPr="00DB4822">
              <w:t>PhD hallgató,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Antitest-mediált rejekció vese-transzplantációt követően: diagnosztikus és prognosztikus értékű hemosztázis és endotél-károsodást jelző markerek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Antibody mediated rejection (ABMR) is a common cause of graft loss. The development of de novo anti-HLA donor specific antibodies (DSAs) is associated with poor outcomes in kidney transplant recipients. It is surmised that an interaction between DSAs and the graft endothelium cause tissue injury, however, the exact underlying pathomechanism and optimal management of patients with de novo DSAs remain undetermined.</w:t>
      </w:r>
    </w:p>
    <w:p>
      <w:pPr>
        <w:widowControl w:val="on"/>
        <w:pBdr/>
        <w:spacing w:before="240" w:after="240" w:line="240" w:lineRule="auto"/>
        <w:ind w:left="0" w:right="0"/>
        <w:jc w:val="left"/>
      </w:pPr>
      <w:r>
        <w:rPr>
          <w:color w:val="000000"/>
          <w:sz w:val="24"/>
          <w:szCs w:val="24"/>
        </w:rPr>
        <w:t xml:space="preserve">Aims. We hypothesized that in kidney transplant recipients the presence of DSAs induce endothelial cell damage and may lead to hypercoagulability by increasing thrombin generation.</w:t>
      </w:r>
    </w:p>
    <w:p>
      <w:pPr>
        <w:widowControl w:val="on"/>
        <w:pBdr/>
        <w:spacing w:before="240" w:after="240" w:line="240" w:lineRule="auto"/>
        <w:ind w:left="0" w:right="0"/>
        <w:jc w:val="left"/>
      </w:pPr>
      <w:r>
        <w:rPr>
          <w:color w:val="000000"/>
          <w:sz w:val="24"/>
          <w:szCs w:val="24"/>
        </w:rPr>
        <w:t xml:space="preserve">Patients and methods. In this observational cohort study, 21 kidney transplant recipients with DSAs (DSA+ group) and 19 age- and sex-matched transplant recipients without DSAs (DSA- group) were enrolled. Venous blood samples were obtained at baseline and the following measurements were carried out: routine laboratory tests including CRP, von Willebrand factor antigen (VWF), soluble E selectin (sEsel), thrombin generation assay (TGA). Lag time, endogen thrombin potential (ETP), peak thrombin, time-to-peak were calculated. In order to correlate results with potential changes in DSA status over time, patients were followed and blood samples were taken again 6±1.5 months later.</w:t>
      </w:r>
    </w:p>
    <w:p>
      <w:pPr>
        <w:widowControl w:val="on"/>
        <w:pBdr/>
        <w:spacing w:before="240" w:after="240" w:line="240" w:lineRule="auto"/>
        <w:ind w:left="0" w:right="0"/>
        <w:jc w:val="left"/>
      </w:pPr>
      <w:r>
        <w:rPr>
          <w:color w:val="000000"/>
          <w:sz w:val="24"/>
          <w:szCs w:val="24"/>
        </w:rPr>
        <w:t xml:space="preserve">Results. CRP, VWF and sESel levels did not differ between groups. As compared to DSA- patients, peak thrombin was significantly increased in the DSA+ group at baseline (median: 349.6 [IQR: 275.9-386.3] vs. 379.4 [IQR: 342.7-436.6] nM, respectively, p&lt;0.028). Similar results were found at follow-up measurements, moreover, ETP was also significantly increased in the DSA+ group (1362±330 vs. 1774±357 nM*min, p&lt;0.006). Upon follow-up, de novo DSA+ result was found in 2 cases, and in one patient it was associated with highly increased thrombin generation.</w:t>
      </w:r>
    </w:p>
    <w:p>
      <w:pPr>
        <w:widowControl w:val="on"/>
        <w:pBdr/>
        <w:spacing w:before="240" w:after="240" w:line="240" w:lineRule="auto"/>
        <w:ind w:left="0" w:right="0"/>
        <w:jc w:val="left"/>
      </w:pPr>
      <w:r>
        <w:rPr>
          <w:color w:val="000000"/>
          <w:sz w:val="24"/>
          <w:szCs w:val="24"/>
        </w:rPr>
        <w:t xml:space="preserve">Conclusions. In patients with DSAs, the extent of endothelial damage was not significant in this cohort. On the other hand, thrombin generation was significantly increased as compared to DSA- transplant recipients, suggesting that the presence of antibodies may induce hypercoagulability, potentially influencing the extent of tissue injury and ABMR.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92808">
    <w:multiLevelType w:val="hybridMultilevel"/>
    <w:lvl w:ilvl="0" w:tplc="98828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92808">
    <w:abstractNumId w:val="56492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528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