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AKPEJI OMAGU ANNE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omaguakpeji@gmail.com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Carlos Alexandre Soares Andrade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2-ES TÍPUSÚ CUKORBETEGSÉG BETEGSÉGTERHE AZ EURÓPAI UNIÓ TAGÁLLAMAIBAN NEMZETI ÉS SZUBNACIONÁLIS SZINTEN: RENDSZEREZETT SZAKIRODALMI ÁTTEKINTÉS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Objective: This study aims to provide the highest level of evidence of the disease</w:t>
      </w:r>
      <w:r>
        <w:rPr>
          <w:color w:val="000000"/>
          <w:sz w:val="24"/>
          <w:szCs w:val="24"/>
        </w:rPr>
        <w:br/>
        <w:t xml:space="preserve">burden due to type 2 diabetes (T2DM) by assessing incidence, prevalence,</w:t>
      </w:r>
      <w:r>
        <w:rPr>
          <w:color w:val="000000"/>
          <w:sz w:val="24"/>
          <w:szCs w:val="24"/>
        </w:rPr>
        <w:br/>
        <w:t xml:space="preserve">morbidity, mortality, and quality of life measures in all 27 member states of the</w:t>
      </w:r>
      <w:r>
        <w:rPr>
          <w:color w:val="000000"/>
          <w:sz w:val="24"/>
          <w:szCs w:val="24"/>
        </w:rPr>
        <w:br/>
        <w:t xml:space="preserve">European Union (EU) and the United Kingdom.</w:t>
      </w:r>
      <w:r>
        <w:rPr>
          <w:color w:val="000000"/>
          <w:sz w:val="24"/>
          <w:szCs w:val="24"/>
        </w:rPr>
        <w:br/>
        <w:t xml:space="preserve">Methods: The present study was registered in PROSPERO and followed the</w:t>
      </w:r>
      <w:r>
        <w:rPr>
          <w:color w:val="000000"/>
          <w:sz w:val="24"/>
          <w:szCs w:val="24"/>
        </w:rPr>
        <w:br/>
        <w:t xml:space="preserve">Preferred Reporting Items for Systematic Review and Meta-Analyses (PRISMA)</w:t>
      </w:r>
      <w:r>
        <w:rPr>
          <w:color w:val="000000"/>
          <w:sz w:val="24"/>
          <w:szCs w:val="24"/>
        </w:rPr>
        <w:br/>
        <w:t xml:space="preserve">guidelines. The search strategy was created based on CoCoPop framework and it</w:t>
      </w:r>
      <w:r>
        <w:rPr>
          <w:color w:val="000000"/>
          <w:sz w:val="24"/>
          <w:szCs w:val="24"/>
        </w:rPr>
        <w:br/>
        <w:t xml:space="preserve">was performed in September 2020 in three databases: MEDLINE via PubMed,</w:t>
      </w:r>
      <w:r>
        <w:rPr>
          <w:color w:val="000000"/>
          <w:sz w:val="24"/>
          <w:szCs w:val="24"/>
        </w:rPr>
        <w:br/>
        <w:t xml:space="preserve">EMBASE, and CINAHL Plus. Studies were selected by two calibrated reviewers</w:t>
      </w:r>
      <w:r>
        <w:rPr>
          <w:color w:val="000000"/>
          <w:sz w:val="24"/>
          <w:szCs w:val="24"/>
        </w:rPr>
        <w:br/>
        <w:t xml:space="preserve">and a third reviewer was consulted in case of disagreement. Data regarding the</w:t>
      </w:r>
      <w:r>
        <w:rPr>
          <w:color w:val="000000"/>
          <w:sz w:val="24"/>
          <w:szCs w:val="24"/>
        </w:rPr>
        <w:br/>
        <w:t xml:space="preserve">burden of disease of T2DM were extracted by the reviewers. Joanna Briggs</w:t>
      </w:r>
      <w:r>
        <w:rPr>
          <w:color w:val="000000"/>
          <w:sz w:val="24"/>
          <w:szCs w:val="24"/>
        </w:rPr>
        <w:br/>
        <w:t xml:space="preserve">Institute (JBI) Critical Appraisal Tools for cohort studies was used for the quality</w:t>
      </w:r>
      <w:r>
        <w:rPr>
          <w:color w:val="000000"/>
          <w:sz w:val="24"/>
          <w:szCs w:val="24"/>
        </w:rPr>
        <w:br/>
        <w:t xml:space="preserve">assessment.</w:t>
      </w:r>
      <w:r>
        <w:rPr>
          <w:color w:val="000000"/>
          <w:sz w:val="24"/>
          <w:szCs w:val="24"/>
        </w:rPr>
        <w:br/>
        <w:t xml:space="preserve">Results: 29 studies met the eligibility criteria and were included in this systematic</w:t>
      </w:r>
      <w:r>
        <w:rPr>
          <w:color w:val="000000"/>
          <w:sz w:val="24"/>
          <w:szCs w:val="24"/>
        </w:rPr>
        <w:br/>
        <w:t xml:space="preserve">review, were published between 1995 and 2020. Eight studies were considered as</w:t>
      </w:r>
      <w:r>
        <w:rPr>
          <w:color w:val="000000"/>
          <w:sz w:val="24"/>
          <w:szCs w:val="24"/>
        </w:rPr>
        <w:br/>
        <w:t xml:space="preserve">low quality and 21 studies had high methodological quality. Studies were reported</w:t>
      </w:r>
      <w:r>
        <w:rPr>
          <w:color w:val="000000"/>
          <w:sz w:val="24"/>
          <w:szCs w:val="24"/>
        </w:rPr>
        <w:br/>
        <w:t xml:space="preserve">from 9 member states. Prevalence of T2D ranged from 199 to 202 per 100.000.</w:t>
      </w:r>
      <w:r>
        <w:rPr>
          <w:color w:val="000000"/>
          <w:sz w:val="24"/>
          <w:szCs w:val="24"/>
        </w:rPr>
        <w:br/>
        <w:t xml:space="preserve">Incidence increased throughout the years; disability-adjusted life years were</w:t>
      </w:r>
      <w:r>
        <w:rPr>
          <w:color w:val="000000"/>
          <w:sz w:val="24"/>
          <w:szCs w:val="24"/>
        </w:rPr>
        <w:br/>
        <w:t xml:space="preserve">higher in countries with lower GDP. Morbidity, mortality due to T2DM, and</w:t>
      </w:r>
      <w:r>
        <w:rPr>
          <w:color w:val="000000"/>
          <w:sz w:val="24"/>
          <w:szCs w:val="24"/>
        </w:rPr>
        <w:br/>
        <w:t xml:space="preserve">quality of life measures were almost not reported in studies.</w:t>
      </w:r>
      <w:r>
        <w:rPr>
          <w:color w:val="000000"/>
          <w:sz w:val="24"/>
          <w:szCs w:val="24"/>
        </w:rPr>
        <w:br/>
        <w:t xml:space="preserve">Conclusion: Burden of disease of T2DM has increased in most member states of</w:t>
      </w:r>
      <w:r>
        <w:rPr>
          <w:color w:val="000000"/>
          <w:sz w:val="24"/>
          <w:szCs w:val="24"/>
        </w:rPr>
        <w:br/>
        <w:t xml:space="preserve">EU in the past 25 years. Epidemiological measures show significant variety</w:t>
      </w:r>
      <w:r>
        <w:rPr>
          <w:color w:val="000000"/>
          <w:sz w:val="24"/>
          <w:szCs w:val="24"/>
        </w:rPr>
        <w:br/>
        <w:t xml:space="preserve">between and within countries. A network of public health interventions should be</w:t>
      </w:r>
      <w:r>
        <w:rPr>
          <w:color w:val="000000"/>
          <w:sz w:val="24"/>
          <w:szCs w:val="24"/>
        </w:rPr>
        <w:br/>
        <w:t xml:space="preserve">implemented considering the regional particularities to tackle T2DM.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19316">
    <w:multiLevelType w:val="hybridMultilevel"/>
    <w:lvl w:ilvl="0" w:tplc="99679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19316">
    <w:abstractNumId w:val="77019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268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