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AJENE COMFORT-LUCIA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zeeajene@gmail.com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2-ES TÍPUSÚ DIABETES MELLITUS GAZDASÁGI TERHEI AZ EURÓPAI UNIÓ TAGÁLLAMAIBAN NEMZETI ÉS SZUBNACIONÁLIS SZINTEKEN: RENDSZEREZETT SZAKIRODALMI ÁTTEKINTÉS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Objective:The goal of this work was to identify the economic burden associated</w:t>
      </w:r>
      <w:r>
        <w:rPr>
          <w:color w:val="000000"/>
          <w:sz w:val="24"/>
          <w:szCs w:val="24"/>
        </w:rPr>
        <w:br/>
        <w:t xml:space="preserve">with type 2 diabetes mellitus (T2DM) in 27 member states of the European Union</w:t>
      </w:r>
      <w:r>
        <w:rPr>
          <w:color w:val="000000"/>
          <w:sz w:val="24"/>
          <w:szCs w:val="24"/>
        </w:rPr>
        <w:br/>
        <w:t xml:space="preserve">(EU) and the United Kingdom.</w:t>
      </w:r>
      <w:r>
        <w:rPr>
          <w:color w:val="000000"/>
          <w:sz w:val="24"/>
          <w:szCs w:val="24"/>
        </w:rPr>
        <w:br/>
        <w:t xml:space="preserve">Introduction: The growing prevalence of T2DM is a significant source of concern</w:t>
      </w:r>
      <w:r>
        <w:rPr>
          <w:color w:val="000000"/>
          <w:sz w:val="24"/>
          <w:szCs w:val="24"/>
        </w:rPr>
        <w:br/>
        <w:t xml:space="preserve">in healthcare around the world. T2DM affected approximately 462 million people,</w:t>
      </w:r>
      <w:r>
        <w:rPr>
          <w:color w:val="000000"/>
          <w:sz w:val="24"/>
          <w:szCs w:val="24"/>
        </w:rPr>
        <w:br/>
        <w:t xml:space="preserve">or 6.28 % of the world's population (4.4 % of those aged 15-49 years, 15 %</w:t>
      </w:r>
      <w:r>
        <w:rPr>
          <w:color w:val="000000"/>
          <w:sz w:val="24"/>
          <w:szCs w:val="24"/>
        </w:rPr>
        <w:br/>
        <w:t xml:space="preserve">of those aged 50-69 years, and 22 % of those aged 70+), with a prevalence rate of</w:t>
      </w:r>
      <w:r>
        <w:rPr>
          <w:color w:val="000000"/>
          <w:sz w:val="24"/>
          <w:szCs w:val="24"/>
        </w:rPr>
        <w:br/>
        <w:t xml:space="preserve">6059 cases per 100,000 in 2018. T2DM is also a growing burden of disease in EU</w:t>
      </w:r>
      <w:r>
        <w:rPr>
          <w:color w:val="000000"/>
          <w:sz w:val="24"/>
          <w:szCs w:val="24"/>
        </w:rPr>
        <w:br/>
        <w:t xml:space="preserve">countries.</w:t>
      </w:r>
      <w:r>
        <w:rPr>
          <w:color w:val="000000"/>
          <w:sz w:val="24"/>
          <w:szCs w:val="24"/>
        </w:rPr>
        <w:br/>
        <w:t xml:space="preserve">Methods: Between August and September 2020, a thorough systematic search of</w:t>
      </w:r>
      <w:r>
        <w:rPr>
          <w:color w:val="000000"/>
          <w:sz w:val="24"/>
          <w:szCs w:val="24"/>
        </w:rPr>
        <w:br/>
        <w:t xml:space="preserve">the literature on the economic burden T2DM in the EU was performed using the</w:t>
      </w:r>
      <w:r>
        <w:rPr>
          <w:color w:val="000000"/>
          <w:sz w:val="24"/>
          <w:szCs w:val="24"/>
        </w:rPr>
        <w:br/>
        <w:t xml:space="preserve">preferred reporting items for systematic analysis. The international prospective</w:t>
      </w:r>
      <w:r>
        <w:rPr>
          <w:color w:val="000000"/>
          <w:sz w:val="24"/>
          <w:szCs w:val="24"/>
        </w:rPr>
        <w:br/>
        <w:t xml:space="preserve">registry of systematic reviews registration was used to register this systematic</w:t>
      </w:r>
      <w:r>
        <w:rPr>
          <w:color w:val="000000"/>
          <w:sz w:val="24"/>
          <w:szCs w:val="24"/>
        </w:rPr>
        <w:br/>
        <w:t xml:space="preserve">review (PROSPERO). Major English databases, such as PubMed, EMBASE, and</w:t>
      </w:r>
      <w:r>
        <w:rPr>
          <w:color w:val="000000"/>
          <w:sz w:val="24"/>
          <w:szCs w:val="24"/>
        </w:rPr>
        <w:br/>
        <w:t xml:space="preserve">CINAHL, were searched to find studies focusing on cost of illness T2DM in the</w:t>
      </w:r>
      <w:r>
        <w:rPr>
          <w:color w:val="000000"/>
          <w:sz w:val="24"/>
          <w:szCs w:val="24"/>
        </w:rPr>
        <w:br/>
        <w:t xml:space="preserve">EU. In addition, a manual search of the reference lists of the included articles was</w:t>
      </w:r>
      <w:r>
        <w:rPr>
          <w:color w:val="000000"/>
          <w:sz w:val="24"/>
          <w:szCs w:val="24"/>
        </w:rPr>
        <w:br/>
        <w:t xml:space="preserve">used to identify additional potentially applicable documents. The Joanna Briggs</w:t>
      </w:r>
      <w:r>
        <w:rPr>
          <w:color w:val="000000"/>
          <w:sz w:val="24"/>
          <w:szCs w:val="24"/>
        </w:rPr>
        <w:br/>
        <w:t xml:space="preserve">Institute (JBI) Critical Appraisal Tools for economic evaluations was used for the</w:t>
      </w:r>
      <w:r>
        <w:rPr>
          <w:color w:val="000000"/>
          <w:sz w:val="24"/>
          <w:szCs w:val="24"/>
        </w:rPr>
        <w:br/>
        <w:t xml:space="preserve">quality assessment.</w:t>
      </w:r>
      <w:r>
        <w:rPr>
          <w:color w:val="000000"/>
          <w:sz w:val="24"/>
          <w:szCs w:val="24"/>
        </w:rPr>
        <w:br/>
        <w:t xml:space="preserve">Results: 23 studies met the eligibility criteria and were included in this systematic</w:t>
      </w:r>
      <w:r>
        <w:rPr>
          <w:color w:val="000000"/>
          <w:sz w:val="24"/>
          <w:szCs w:val="24"/>
        </w:rPr>
        <w:br/>
        <w:t xml:space="preserve">review, were published between 1995 and 2020. Studies were reported from 11</w:t>
      </w:r>
      <w:r>
        <w:rPr>
          <w:color w:val="000000"/>
          <w:sz w:val="24"/>
          <w:szCs w:val="24"/>
        </w:rPr>
        <w:br/>
        <w:t xml:space="preserve">member states. Without exception, T2DM and its complications have led to a</w:t>
      </w:r>
      <w:r>
        <w:rPr>
          <w:color w:val="000000"/>
          <w:sz w:val="24"/>
          <w:szCs w:val="24"/>
        </w:rPr>
        <w:br/>
        <w:t xml:space="preserve">marked increase in healthcare costs, including direct and indirect costs.</w:t>
      </w:r>
      <w:r>
        <w:rPr>
          <w:color w:val="000000"/>
          <w:sz w:val="24"/>
          <w:szCs w:val="24"/>
        </w:rPr>
        <w:br/>
        <w:t xml:space="preserve">Conclusion: Despite significant improvements in clinical care, research, and</w:t>
      </w:r>
      <w:r>
        <w:rPr>
          <w:color w:val="000000"/>
          <w:sz w:val="24"/>
          <w:szCs w:val="24"/>
        </w:rPr>
        <w:br/>
        <w:t xml:space="preserve">public health services, the economic impact remains high. The increasing annual</w:t>
      </w:r>
      <w:r>
        <w:rPr>
          <w:color w:val="000000"/>
          <w:sz w:val="24"/>
          <w:szCs w:val="24"/>
        </w:rPr>
        <w:br/>
        <w:t xml:space="preserve">cost per patient</w:t>
      </w:r>
      <w:r>
        <w:rPr>
          <w:color w:val="000000"/>
          <w:sz w:val="24"/>
          <w:szCs w:val="24"/>
        </w:rPr>
        <w:br/>
        <w:t xml:space="preserve">highlights the need for preventive interventions in the EU member states.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94641">
    <w:multiLevelType w:val="hybridMultilevel"/>
    <w:lvl w:ilvl="0" w:tplc="84128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94641">
    <w:abstractNumId w:val="31094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136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