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JEX EMILIÁNA ZSUZSA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emiliana.jex@gmail.com</w:t>
            </w:r>
            <w:r w:rsidRPr="002361E2">
              <w:rPr>
                <w:i/>
              </w:rPr>
              <w:br/>
            </w:r>
            <w:r w:rsidR="00A96AEC">
              <w:t>Molekuláris 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Pázmándi Kitti 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NLRP3 útvonal aktivitásának vizsgálata vírus expozíciónak kitett humán plazmacitoid dendritikus sejtekben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vírusfertőzések gyakran bakteriális felülfertőzéssel asszociálnak,</w:t>
      </w:r>
      <w:r>
        <w:rPr>
          <w:color w:val="000000"/>
          <w:sz w:val="24"/>
          <w:szCs w:val="24"/>
        </w:rPr>
        <w:br/>
        <w:t xml:space="preserve">ami részben az antivirális I-es típusú interferon (IFN) és antibakteriális NLRP3-</w:t>
      </w:r>
      <w:r>
        <w:rPr>
          <w:color w:val="000000"/>
          <w:sz w:val="24"/>
          <w:szCs w:val="24"/>
        </w:rPr>
        <w:br/>
        <w:t xml:space="preserve">függő IL-1β útvonalak közötti gátló jellegű kölcsönhatásokra vezethető vissza,</w:t>
      </w:r>
      <w:r>
        <w:rPr>
          <w:color w:val="000000"/>
          <w:sz w:val="24"/>
          <w:szCs w:val="24"/>
        </w:rPr>
        <w:br/>
        <w:t xml:space="preserve">mely nagymértékben befolyásolja az infekciók kimenetelét. A plazmacitoid</w:t>
      </w:r>
      <w:r>
        <w:rPr>
          <w:color w:val="000000"/>
          <w:sz w:val="24"/>
          <w:szCs w:val="24"/>
        </w:rPr>
        <w:br/>
        <w:t xml:space="preserve">dendritikus sejtek (pDS) professzionális I-es típusú IFN termelő sejtekként az</w:t>
      </w:r>
      <w:r>
        <w:rPr>
          <w:color w:val="000000"/>
          <w:sz w:val="24"/>
          <w:szCs w:val="24"/>
        </w:rPr>
        <w:br/>
        <w:t xml:space="preserve">antivirális immunválaszok egyik leghatékonyabb résztvevői. Azonban az NLRP3</w:t>
      </w:r>
      <w:r>
        <w:rPr>
          <w:color w:val="000000"/>
          <w:sz w:val="24"/>
          <w:szCs w:val="24"/>
        </w:rPr>
        <w:br/>
        <w:t xml:space="preserve">útvonal, ami meghatározza a bakteriális fertőzésekre adott immunválaszt, még</w:t>
      </w:r>
      <w:r>
        <w:rPr>
          <w:color w:val="000000"/>
          <w:sz w:val="24"/>
          <w:szCs w:val="24"/>
        </w:rPr>
        <w:br/>
        <w:t xml:space="preserve">feltáratlan ezen sejtekben. Így célul tűztük ki az I-es típusú IFN és az NLRP3-</w:t>
      </w:r>
      <w:r>
        <w:rPr>
          <w:color w:val="000000"/>
          <w:sz w:val="24"/>
          <w:szCs w:val="24"/>
        </w:rPr>
        <w:br/>
        <w:t xml:space="preserve">függő IL-1β útvonalak kölcsönhatásainak vizsgálatát humán pDS-ekben.</w:t>
      </w:r>
      <w:r>
        <w:rPr>
          <w:color w:val="000000"/>
          <w:sz w:val="24"/>
          <w:szCs w:val="24"/>
        </w:rPr>
        <w:br/>
        <w:t xml:space="preserve">Módszerek: Kísérleteink során humán pDS sejtvonalat és primer pDS-eket</w:t>
      </w:r>
      <w:r>
        <w:rPr>
          <w:color w:val="000000"/>
          <w:sz w:val="24"/>
          <w:szCs w:val="24"/>
        </w:rPr>
        <w:br/>
        <w:t xml:space="preserve">kezeltünk meg szintetikus aktivátorokkal, patogén baktériummal (E. coli), illetve</w:t>
      </w:r>
      <w:r>
        <w:rPr>
          <w:color w:val="000000"/>
          <w:sz w:val="24"/>
          <w:szCs w:val="24"/>
        </w:rPr>
        <w:br/>
        <w:t xml:space="preserve">RNS (VSV) és DNS (HSV) vírusokkal, majd a pDS-ek NLRP3 útvonal aktivitását</w:t>
      </w:r>
      <w:r>
        <w:rPr>
          <w:color w:val="000000"/>
          <w:sz w:val="24"/>
          <w:szCs w:val="24"/>
        </w:rPr>
        <w:br/>
        <w:t xml:space="preserve">western blot, ELISA, Q-PCR és áramlási citometria segítségével vizsgáltuk. A</w:t>
      </w:r>
      <w:r>
        <w:rPr>
          <w:color w:val="000000"/>
          <w:sz w:val="24"/>
          <w:szCs w:val="24"/>
        </w:rPr>
        <w:br/>
        <w:t xml:space="preserve">pDS-ek baktérium-indukált IL-1β válaszát RNS és DNS vírusok, valamint IFN-α</w:t>
      </w:r>
      <w:r>
        <w:rPr>
          <w:color w:val="000000"/>
          <w:sz w:val="24"/>
          <w:szCs w:val="24"/>
        </w:rPr>
        <w:br/>
        <w:t xml:space="preserve">citokin jelenlétében is meghatároztuk.</w:t>
      </w:r>
      <w:r>
        <w:rPr>
          <w:color w:val="000000"/>
          <w:sz w:val="24"/>
          <w:szCs w:val="24"/>
        </w:rPr>
        <w:br/>
        <w:t xml:space="preserve">Eredmények: Megfigyeltük, hogy a patogén baktériumok a vírusokkal szemben</w:t>
      </w:r>
      <w:r>
        <w:rPr>
          <w:color w:val="000000"/>
          <w:sz w:val="24"/>
          <w:szCs w:val="24"/>
        </w:rPr>
        <w:br/>
        <w:t xml:space="preserve">jóval nagyobb mértékű NLRP3 aktivációt indukálnak a pDS-ekben. Továbbá a</w:t>
      </w:r>
      <w:r>
        <w:rPr>
          <w:color w:val="000000"/>
          <w:sz w:val="24"/>
          <w:szCs w:val="24"/>
        </w:rPr>
        <w:br/>
        <w:t xml:space="preserve">baktérium által indukált IL-1β termelés RNS és DNS vírusok jelenlétében</w:t>
      </w:r>
      <w:r>
        <w:rPr>
          <w:color w:val="000000"/>
          <w:sz w:val="24"/>
          <w:szCs w:val="24"/>
        </w:rPr>
        <w:br/>
        <w:t xml:space="preserve">gátolható, ami valószínűleg a vírusok által indukált I-es típusú IFN-ek NLRP3-</w:t>
      </w:r>
      <w:r>
        <w:rPr>
          <w:color w:val="000000"/>
          <w:sz w:val="24"/>
          <w:szCs w:val="24"/>
        </w:rPr>
        <w:br/>
        <w:t xml:space="preserve">függő IL-1β útvonalra gyakorolt gátló hatásainak köszönhető. Ezt bizonyítja azon</w:t>
      </w:r>
      <w:r>
        <w:rPr>
          <w:color w:val="000000"/>
          <w:sz w:val="24"/>
          <w:szCs w:val="24"/>
        </w:rPr>
        <w:br/>
        <w:t xml:space="preserve">eredményünk is, miszerint az IFN-α citokin jelenléte a tápközegben szignifikánsan</w:t>
      </w:r>
      <w:r>
        <w:rPr>
          <w:color w:val="000000"/>
          <w:sz w:val="24"/>
          <w:szCs w:val="24"/>
        </w:rPr>
        <w:br/>
        <w:t xml:space="preserve">csökkentette a pDS-ek IL-1β-termelését, ami különböző gátló molekulák, úgymint</w:t>
      </w:r>
      <w:r>
        <w:rPr>
          <w:color w:val="000000"/>
          <w:sz w:val="24"/>
          <w:szCs w:val="24"/>
        </w:rPr>
        <w:br/>
        <w:t xml:space="preserve">a 25-hidroxi-koleszterin, SOCS1 és COP1 expressziójának indukálása révén</w:t>
      </w:r>
      <w:r>
        <w:rPr>
          <w:color w:val="000000"/>
          <w:sz w:val="24"/>
          <w:szCs w:val="24"/>
        </w:rPr>
        <w:br/>
        <w:t xml:space="preserve">valósult meg.</w:t>
      </w:r>
      <w:r>
        <w:rPr>
          <w:color w:val="000000"/>
          <w:sz w:val="24"/>
          <w:szCs w:val="24"/>
        </w:rPr>
        <w:br/>
        <w:t xml:space="preserve">Konklúzió: Eredményeink azt mutatják, hogy az antivirális I-es típusú IFN és az</w:t>
      </w:r>
      <w:r>
        <w:rPr>
          <w:color w:val="000000"/>
          <w:sz w:val="24"/>
          <w:szCs w:val="24"/>
        </w:rPr>
        <w:br/>
        <w:t xml:space="preserve">antibakteriális IL-1β útvonalak között antagonista hatások figyelhetők meg humán</w:t>
      </w:r>
      <w:r>
        <w:rPr>
          <w:color w:val="000000"/>
          <w:sz w:val="24"/>
          <w:szCs w:val="24"/>
        </w:rPr>
        <w:br/>
        <w:t xml:space="preserve">pDS-ekben. Így a pDS-ek IL-1β-közvetített immunválasza olyan gyulladásos</w:t>
      </w:r>
      <w:r>
        <w:rPr>
          <w:color w:val="000000"/>
          <w:sz w:val="24"/>
          <w:szCs w:val="24"/>
        </w:rPr>
        <w:br/>
        <w:t xml:space="preserve">állapotokban érvényesülhet, amiben az I-es típusú IFN útvonal nem dominál.</w:t>
      </w:r>
      <w:r>
        <w:rPr>
          <w:color w:val="000000"/>
          <w:sz w:val="24"/>
          <w:szCs w:val="24"/>
        </w:rPr>
        <w:br/>
        <w:t xml:space="preserve">Támogatások: NKFIH FK 128294, GINOP-2.3.2-15-2016-00050, MTA Bolyai</w:t>
      </w:r>
      <w:r>
        <w:rPr>
          <w:color w:val="000000"/>
          <w:sz w:val="24"/>
          <w:szCs w:val="24"/>
        </w:rPr>
        <w:br/>
        <w:t xml:space="preserve">János kutatási ösztöndíj, ÚNKP-21-05-DE-170 kódszámú Új Nemzeti Kiválóság</w:t>
      </w:r>
      <w:r>
        <w:rPr>
          <w:color w:val="000000"/>
          <w:sz w:val="24"/>
          <w:szCs w:val="24"/>
        </w:rPr>
        <w:br/>
        <w:t xml:space="preserve">Program.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14037">
    <w:multiLevelType w:val="hybridMultilevel"/>
    <w:lvl w:ilvl="0" w:tplc="49065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14037">
    <w:abstractNumId w:val="854140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9244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