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VEREB MÁRK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markvereb@gmail.com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Szöőr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Gergely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hatékony in vitro citotoxikus választ kiváltó T sejtekre optimalizált HER2-specifikus kiméra antigén receptorokkal módosított NK-92 sejtek átmeneti tumorellenes hatást mutatnak emlőtumor xenograft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onkológia területén áttörést hozott a beteg T sejtjeinek módosítása kiméra</w:t>
      </w:r>
      <w:r>
        <w:rPr>
          <w:color w:val="000000"/>
          <w:sz w:val="24"/>
          <w:szCs w:val="24"/>
        </w:rPr>
        <w:br/>
        <w:t xml:space="preserve">antigén receptorokkal (CAR). Ugyanakkor, a szinte kizárólagosan autológ</w:t>
      </w:r>
      <w:r>
        <w:rPr>
          <w:color w:val="000000"/>
          <w:sz w:val="24"/>
          <w:szCs w:val="24"/>
        </w:rPr>
        <w:br/>
        <w:t xml:space="preserve">alkalmazás jelentős korlátot jelent a CAR T sejtek széleskörű terápiás</w:t>
      </w:r>
      <w:r>
        <w:rPr>
          <w:color w:val="000000"/>
          <w:sz w:val="24"/>
          <w:szCs w:val="24"/>
        </w:rPr>
        <w:br/>
        <w:t xml:space="preserve">elterjedésében. A természetes ölősejtek (NK) áthidalhatják ezt az akadályt, mivel</w:t>
      </w:r>
      <w:r>
        <w:rPr>
          <w:color w:val="000000"/>
          <w:sz w:val="24"/>
          <w:szCs w:val="24"/>
        </w:rPr>
        <w:br/>
        <w:t xml:space="preserve">a recipiensben nem váltanak ki graft-versus-host-betegséget, így lehetséges</w:t>
      </w:r>
      <w:r>
        <w:rPr>
          <w:color w:val="000000"/>
          <w:sz w:val="24"/>
          <w:szCs w:val="24"/>
        </w:rPr>
        <w:br/>
        <w:t xml:space="preserve">allogén alkalmazásuk „off-the-shelf” készítményként.</w:t>
      </w:r>
      <w:r>
        <w:rPr>
          <w:color w:val="000000"/>
          <w:sz w:val="24"/>
          <w:szCs w:val="24"/>
        </w:rPr>
        <w:br/>
        <w:t xml:space="preserve">Előkísérleteinkben II. és III. generációs, a CD28 és/vagy 41BB kostimulációs</w:t>
      </w:r>
      <w:r>
        <w:rPr>
          <w:color w:val="000000"/>
          <w:sz w:val="24"/>
          <w:szCs w:val="24"/>
        </w:rPr>
        <w:br/>
        <w:t xml:space="preserve">endodoméneket kifejező HER2 specifikus CAR-okkal módosított NK-92</w:t>
      </w:r>
      <w:r>
        <w:rPr>
          <w:color w:val="000000"/>
          <w:sz w:val="24"/>
          <w:szCs w:val="24"/>
        </w:rPr>
        <w:br/>
        <w:t xml:space="preserve">sejtvonalakat állítottunk elő retrovirális transzdukcióval, majd validáltuk in vitro</w:t>
      </w:r>
      <w:r>
        <w:rPr>
          <w:color w:val="000000"/>
          <w:sz w:val="24"/>
          <w:szCs w:val="24"/>
        </w:rPr>
        <w:br/>
        <w:t xml:space="preserve">aktivitásukat. Megállapítottuk, hogy a CD28 és 41BB kostimulációs</w:t>
      </w:r>
      <w:r>
        <w:rPr>
          <w:color w:val="000000"/>
          <w:sz w:val="24"/>
          <w:szCs w:val="24"/>
        </w:rPr>
        <w:br/>
        <w:t xml:space="preserve">endodoméneket együttesen kifejező III. generációs HER2-CAR-ok indukálták a</w:t>
      </w:r>
      <w:r>
        <w:rPr>
          <w:color w:val="000000"/>
          <w:sz w:val="24"/>
          <w:szCs w:val="24"/>
        </w:rPr>
        <w:br/>
        <w:t xml:space="preserve">legjelentősebb effektorhatást, amit szignifikánsan magasabb IFNγ szekréció</w:t>
      </w:r>
      <w:r>
        <w:rPr>
          <w:color w:val="000000"/>
          <w:sz w:val="24"/>
          <w:szCs w:val="24"/>
        </w:rPr>
        <w:br/>
        <w:t xml:space="preserve">jelzett a trastuzumab rezisztens HER2+ JIMT-1 tumorsejtvonalak ellenében.</w:t>
      </w:r>
      <w:r>
        <w:rPr>
          <w:color w:val="000000"/>
          <w:sz w:val="24"/>
          <w:szCs w:val="24"/>
        </w:rPr>
        <w:br/>
        <w:t xml:space="preserve">Jelen munkámban megvizsgáltam, hogy vajon ezek a III. generációs HER2-</w:t>
      </w:r>
      <w:r>
        <w:rPr>
          <w:color w:val="000000"/>
          <w:sz w:val="24"/>
          <w:szCs w:val="24"/>
        </w:rPr>
        <w:br/>
        <w:t xml:space="preserve">specifikus CAR-NK-92 sejtek képesek-e egy preklinikai szolid tumor modellben</w:t>
      </w:r>
      <w:r>
        <w:rPr>
          <w:color w:val="000000"/>
          <w:sz w:val="24"/>
          <w:szCs w:val="24"/>
        </w:rPr>
        <w:br/>
        <w:t xml:space="preserve">is hatékonyabb tumorellenes aktivitást indukálni, mint a második generációs</w:t>
      </w:r>
      <w:r>
        <w:rPr>
          <w:color w:val="000000"/>
          <w:sz w:val="24"/>
          <w:szCs w:val="24"/>
        </w:rPr>
        <w:br/>
        <w:t xml:space="preserve">CAR-NK-k.</w:t>
      </w:r>
      <w:r>
        <w:rPr>
          <w:color w:val="000000"/>
          <w:sz w:val="24"/>
          <w:szCs w:val="24"/>
        </w:rPr>
        <w:br/>
        <w:t xml:space="preserve">Kísérletünkben NSG egereket szubkután xenotranszplantáltunk a luciferáz</w:t>
      </w:r>
      <w:r>
        <w:rPr>
          <w:color w:val="000000"/>
          <w:sz w:val="24"/>
          <w:szCs w:val="24"/>
        </w:rPr>
        <w:br/>
        <w:t xml:space="preserve">markert stabilan kifejező JIMT-1 tumorsejtekkel, majd két héttel az oltást</w:t>
      </w:r>
      <w:r>
        <w:rPr>
          <w:color w:val="000000"/>
          <w:sz w:val="24"/>
          <w:szCs w:val="24"/>
        </w:rPr>
        <w:br/>
        <w:t xml:space="preserve">követően intravénásan 5-5 millió II., illetve III. generációs CAR-NK-92 sejttel</w:t>
      </w:r>
      <w:r>
        <w:rPr>
          <w:color w:val="000000"/>
          <w:sz w:val="24"/>
          <w:szCs w:val="24"/>
        </w:rPr>
        <w:br/>
        <w:t xml:space="preserve">kezeltük az állatokat. A kontrollcsoport egyedei nem transzdukált NK-92 sejteket</w:t>
      </w:r>
      <w:r>
        <w:rPr>
          <w:color w:val="000000"/>
          <w:sz w:val="24"/>
          <w:szCs w:val="24"/>
        </w:rPr>
        <w:br/>
        <w:t xml:space="preserve">+/- intraperitoneális trasztuzumab injekciót kaptak. A tumorellenes hatást Perkin</w:t>
      </w:r>
      <w:r>
        <w:rPr>
          <w:color w:val="000000"/>
          <w:sz w:val="24"/>
          <w:szCs w:val="24"/>
        </w:rPr>
        <w:br/>
        <w:t xml:space="preserve">Elmer IVIS Spectrum CT készülékkel monitoroztam, a kapott eredményeket</w:t>
      </w:r>
      <w:r>
        <w:rPr>
          <w:color w:val="000000"/>
          <w:sz w:val="24"/>
          <w:szCs w:val="24"/>
        </w:rPr>
        <w:br/>
        <w:t xml:space="preserve">Living Image szoftverrel értékeltem.</w:t>
      </w:r>
      <w:r>
        <w:rPr>
          <w:color w:val="000000"/>
          <w:sz w:val="24"/>
          <w:szCs w:val="24"/>
        </w:rPr>
        <w:br/>
        <w:t xml:space="preserve">Megállapítottam, hogy az in vitro kísérletekben szignifikáns tumorellenes hatást</w:t>
      </w:r>
      <w:r>
        <w:rPr>
          <w:color w:val="000000"/>
          <w:sz w:val="24"/>
          <w:szCs w:val="24"/>
        </w:rPr>
        <w:br/>
        <w:t xml:space="preserve">mutató HER2-CAR NK-92 sejtkészítmények a kezelést követő két hetes</w:t>
      </w:r>
      <w:r>
        <w:rPr>
          <w:color w:val="000000"/>
          <w:sz w:val="24"/>
          <w:szCs w:val="24"/>
        </w:rPr>
        <w:br/>
        <w:t xml:space="preserve">intervallumban in vivo is tumorellenes hatást váltott ki, azonban ez minden</w:t>
      </w:r>
      <w:r>
        <w:rPr>
          <w:color w:val="000000"/>
          <w:sz w:val="24"/>
          <w:szCs w:val="24"/>
        </w:rPr>
        <w:br/>
        <w:t xml:space="preserve">esetben ideiglenesnek bizonyult és a tumorok a kezelt állatokban túlnőttek.</w:t>
      </w:r>
      <w:r>
        <w:rPr>
          <w:color w:val="000000"/>
          <w:sz w:val="24"/>
          <w:szCs w:val="24"/>
        </w:rPr>
        <w:br/>
        <w:t xml:space="preserve">Azt feltételezzük, hogy a jelen kísérletben használt T sejtekre optimalizált CAR</w:t>
      </w:r>
      <w:r>
        <w:rPr>
          <w:color w:val="000000"/>
          <w:sz w:val="24"/>
          <w:szCs w:val="24"/>
        </w:rPr>
        <w:br/>
        <w:t xml:space="preserve">konstruktok megváltoztatása az NK sejtekre specifikus 2B4 kostimulációs domén</w:t>
      </w:r>
      <w:r>
        <w:rPr>
          <w:color w:val="000000"/>
          <w:sz w:val="24"/>
          <w:szCs w:val="24"/>
        </w:rPr>
        <w:br/>
        <w:t xml:space="preserve">beépítésével jobb in vivo tumorellenes hatást eredményezhet.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29728">
    <w:multiLevelType w:val="hybridMultilevel"/>
    <w:lvl w:ilvl="0" w:tplc="21053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29728">
    <w:abstractNumId w:val="742297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0223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