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CSÁKI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csaki.niki01@gmail.com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Gyöngyösi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BGP-15 hatásainak vizsgálata doxorubicin- indukálta citotoxicitás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doxorubicin (DOX) az interkaláló ágensek közé tartozó kemoterápiás</w:t>
      </w:r>
      <w:r>
        <w:rPr>
          <w:color w:val="000000"/>
          <w:sz w:val="24"/>
          <w:szCs w:val="24"/>
        </w:rPr>
        <w:br/>
        <w:t xml:space="preserve">készítmény, amely a klinikumban széles körben alkalmazott. Klinikai</w:t>
      </w:r>
      <w:r>
        <w:rPr>
          <w:color w:val="000000"/>
          <w:sz w:val="24"/>
          <w:szCs w:val="24"/>
        </w:rPr>
        <w:br/>
        <w:t xml:space="preserve">felhasználhatóságának azonban gátat szab kardiotoxikus mellékhatása, melynek</w:t>
      </w:r>
      <w:r>
        <w:rPr>
          <w:color w:val="000000"/>
          <w:sz w:val="24"/>
          <w:szCs w:val="24"/>
        </w:rPr>
        <w:br/>
        <w:t xml:space="preserve">hátterében – legalábbis részben- az oxidatív stressz fokozása, a mitokondriális</w:t>
      </w:r>
      <w:r>
        <w:rPr>
          <w:color w:val="000000"/>
          <w:sz w:val="24"/>
          <w:szCs w:val="24"/>
        </w:rPr>
        <w:br/>
        <w:t xml:space="preserve">diszfunkció és az apoptózis állhat. Máig intenzív kutatások alapját képezi ezen</w:t>
      </w:r>
      <w:r>
        <w:rPr>
          <w:color w:val="000000"/>
          <w:sz w:val="24"/>
          <w:szCs w:val="24"/>
        </w:rPr>
        <w:br/>
        <w:t xml:space="preserve">szív-és érrendszeri károsodás kivédésének lehetősége. Munkánk fókuszában egy</w:t>
      </w:r>
      <w:r>
        <w:rPr>
          <w:color w:val="000000"/>
          <w:sz w:val="24"/>
          <w:szCs w:val="24"/>
        </w:rPr>
        <w:br/>
        <w:t xml:space="preserve">hazai fejlesztésű hatóanyag, a BGP-15 állt. Korábbi kutatásokból kiderült, hogy</w:t>
      </w:r>
      <w:r>
        <w:rPr>
          <w:color w:val="000000"/>
          <w:sz w:val="24"/>
          <w:szCs w:val="24"/>
        </w:rPr>
        <w:br/>
        <w:t xml:space="preserve">kardioprotektív hatásokkal bírhat iszkémia/reperfúziós sérülésekben, bár</w:t>
      </w:r>
      <w:r>
        <w:rPr>
          <w:color w:val="000000"/>
          <w:sz w:val="24"/>
          <w:szCs w:val="24"/>
        </w:rPr>
        <w:br/>
        <w:t xml:space="preserve">hatásmechanizmusa nem teljesen ismert. Célul tűztük ki annak vizsgálatát, hogy a</w:t>
      </w:r>
      <w:r>
        <w:rPr>
          <w:color w:val="000000"/>
          <w:sz w:val="24"/>
          <w:szCs w:val="24"/>
        </w:rPr>
        <w:br/>
        <w:t xml:space="preserve">BGP-15 előkezelés mennyiben képes kivédeni a DOX szívizom károsító</w:t>
      </w:r>
      <w:r>
        <w:rPr>
          <w:color w:val="000000"/>
          <w:sz w:val="24"/>
          <w:szCs w:val="24"/>
        </w:rPr>
        <w:br/>
        <w:t xml:space="preserve">mellékhatását.</w:t>
      </w:r>
      <w:r>
        <w:rPr>
          <w:color w:val="000000"/>
          <w:sz w:val="24"/>
          <w:szCs w:val="24"/>
        </w:rPr>
        <w:br/>
        <w:t xml:space="preserve">Munkánk során H9c2 szívizomsejteket kezeltünk 24 óráig 50 µM BGP-15-tel,</w:t>
      </w:r>
      <w:r>
        <w:rPr>
          <w:color w:val="000000"/>
          <w:sz w:val="24"/>
          <w:szCs w:val="24"/>
        </w:rPr>
        <w:br/>
        <w:t xml:space="preserve">majd különböző koncentrációjú (0.1, 1, 3 µM) DOX-nel és vizsgáltuk a sejtek</w:t>
      </w:r>
      <w:r>
        <w:rPr>
          <w:color w:val="000000"/>
          <w:sz w:val="24"/>
          <w:szCs w:val="24"/>
        </w:rPr>
        <w:br/>
        <w:t xml:space="preserve">életképességét MTT assay segítségével, az oxidatív stress mértékét MitoSOX</w:t>
      </w:r>
      <w:r>
        <w:rPr>
          <w:color w:val="000000"/>
          <w:sz w:val="24"/>
          <w:szCs w:val="24"/>
        </w:rPr>
        <w:br/>
        <w:t xml:space="preserve">festéssel, az laktát-dehidrogenáz (LDH) felszabadulás mértékét, a mitokondriális</w:t>
      </w:r>
      <w:r>
        <w:rPr>
          <w:color w:val="000000"/>
          <w:sz w:val="24"/>
          <w:szCs w:val="24"/>
        </w:rPr>
        <w:br/>
        <w:t xml:space="preserve">membránpotenciál változását JC-1 festékkel, valamint az apoptózis és az autofágia</w:t>
      </w:r>
      <w:r>
        <w:rPr>
          <w:color w:val="000000"/>
          <w:sz w:val="24"/>
          <w:szCs w:val="24"/>
        </w:rPr>
        <w:br/>
        <w:t xml:space="preserve">szintjét Western-blot analízissel.</w:t>
      </w:r>
      <w:r>
        <w:rPr>
          <w:color w:val="000000"/>
          <w:sz w:val="24"/>
          <w:szCs w:val="24"/>
        </w:rPr>
        <w:br/>
        <w:t xml:space="preserve">Eredményeink alapján elmondható, hogy a BGP-15 előkezelés jelentős mértékben</w:t>
      </w:r>
      <w:r>
        <w:rPr>
          <w:color w:val="000000"/>
          <w:sz w:val="24"/>
          <w:szCs w:val="24"/>
        </w:rPr>
        <w:br/>
        <w:t xml:space="preserve">javítani a szívizomsejtek életképességét 12 és 24 órás DOX-kezelés esetében is,</w:t>
      </w:r>
      <w:r>
        <w:rPr>
          <w:color w:val="000000"/>
          <w:sz w:val="24"/>
          <w:szCs w:val="24"/>
        </w:rPr>
        <w:br/>
        <w:t xml:space="preserve">valamint szignifikánsan csökkentette a DOX-okozta LDH felszabadulását. A</w:t>
      </w:r>
      <w:r>
        <w:rPr>
          <w:color w:val="000000"/>
          <w:sz w:val="24"/>
          <w:szCs w:val="24"/>
        </w:rPr>
        <w:br/>
        <w:t xml:space="preserve">BGP-15 csökkentette a DOX-indukálta oxidatív stressz mértékét, és az 1 µM</w:t>
      </w:r>
      <w:r>
        <w:rPr>
          <w:color w:val="000000"/>
          <w:sz w:val="24"/>
          <w:szCs w:val="24"/>
        </w:rPr>
        <w:br/>
        <w:t xml:space="preserve">koncentrációjú DOX-nel kezelt csoportokban javította a mitokondriális</w:t>
      </w:r>
      <w:r>
        <w:rPr>
          <w:color w:val="000000"/>
          <w:sz w:val="24"/>
          <w:szCs w:val="24"/>
        </w:rPr>
        <w:br/>
        <w:t xml:space="preserve">menbránpotenciált. Továbbá, a vizsgált hatóanyag csökkentette a hasított-caspase3/pro-caspase-3 arányát, mely az apoptózis folyamatának egy jelentős markere.</w:t>
      </w:r>
      <w:r>
        <w:rPr>
          <w:color w:val="000000"/>
          <w:sz w:val="24"/>
          <w:szCs w:val="24"/>
        </w:rPr>
        <w:br/>
        <w:t xml:space="preserve">Mindemellett szerepe lehet az autofágia modulálásában is DOX-indukálta</w:t>
      </w:r>
      <w:r>
        <w:rPr>
          <w:color w:val="000000"/>
          <w:sz w:val="24"/>
          <w:szCs w:val="24"/>
        </w:rPr>
        <w:br/>
        <w:t xml:space="preserve">kardiotoxicitás során.</w:t>
      </w:r>
      <w:r>
        <w:rPr>
          <w:color w:val="000000"/>
          <w:sz w:val="24"/>
          <w:szCs w:val="24"/>
        </w:rPr>
        <w:br/>
        <w:t xml:space="preserve">Összességében elmondható, hogy a BGP-15 kedvezően hathat a DOX-indukálta</w:t>
      </w:r>
      <w:r>
        <w:rPr>
          <w:color w:val="000000"/>
          <w:sz w:val="24"/>
          <w:szCs w:val="24"/>
        </w:rPr>
        <w:br/>
        <w:t xml:space="preserve">kardiotoxicitás kivédésében.</w:t>
      </w:r>
      <w:r>
        <w:rPr>
          <w:color w:val="000000"/>
          <w:sz w:val="24"/>
          <w:szCs w:val="24"/>
        </w:rPr>
        <w:br/>
        <w:t xml:space="preserve">Támogatások: „GINOP-2.3.4-15-2020-00008 Komplex Egészségipari</w:t>
      </w:r>
      <w:r>
        <w:rPr>
          <w:color w:val="000000"/>
          <w:sz w:val="24"/>
          <w:szCs w:val="24"/>
        </w:rPr>
        <w:br/>
        <w:t xml:space="preserve">Multidiszciplináris Kompetencia Központ kialakítása a Debreceni Egyetemen új</w:t>
      </w:r>
      <w:r>
        <w:rPr>
          <w:color w:val="000000"/>
          <w:sz w:val="24"/>
          <w:szCs w:val="24"/>
        </w:rPr>
        <w:br/>
        <w:t xml:space="preserve">innovatív termékek és technológiák fejlesztése érdekében”.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71466">
    <w:multiLevelType w:val="hybridMultilevel"/>
    <w:lvl w:ilvl="0" w:tplc="75530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71466">
    <w:abstractNumId w:val="95771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259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