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EGRI VIRÁG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debreceni.egri.virag@gmail.com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Balla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retinális vérzés okozta hem felszabadulás és a kóros VEGF termelés kapcsolata a koraszülöttek ROP megbetegedésének hátterében.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koraszülöttek krónikus utóbetegségei a gyermekek életminőségét</w:t>
      </w:r>
      <w:r>
        <w:rPr>
          <w:color w:val="000000"/>
          <w:sz w:val="24"/>
          <w:szCs w:val="24"/>
        </w:rPr>
        <w:br/>
        <w:t xml:space="preserve">befolyásolják, különösen rontja helyzetüket a retinopathia prematorum (ROP). A</w:t>
      </w:r>
      <w:r>
        <w:rPr>
          <w:color w:val="000000"/>
          <w:sz w:val="24"/>
          <w:szCs w:val="24"/>
        </w:rPr>
        <w:br/>
        <w:t xml:space="preserve">ROP-os koraszülötteknél az ideghártya éretlen, ereződése még nem fejeződött be.</w:t>
      </w:r>
      <w:r>
        <w:rPr>
          <w:color w:val="000000"/>
          <w:sz w:val="24"/>
          <w:szCs w:val="24"/>
        </w:rPr>
        <w:br/>
        <w:t xml:space="preserve">A kóros retinális neovaszkularizáció akár vakságok is okozhat, kezelése a fokozott</w:t>
      </w:r>
      <w:r>
        <w:rPr>
          <w:color w:val="000000"/>
          <w:sz w:val="24"/>
          <w:szCs w:val="24"/>
        </w:rPr>
        <w:br/>
        <w:t xml:space="preserve">érburjánzást okozó növekedési faktor (VEGF) gátlásán nyugszik. Lézerkezelés</w:t>
      </w:r>
      <w:r>
        <w:rPr>
          <w:color w:val="000000"/>
          <w:sz w:val="24"/>
          <w:szCs w:val="24"/>
        </w:rPr>
        <w:br/>
        <w:t xml:space="preserve">során a VEGF termelő sejtek elpusztítása a cél, illetve antitest alapú terápia a már</w:t>
      </w:r>
      <w:r>
        <w:rPr>
          <w:color w:val="000000"/>
          <w:sz w:val="24"/>
          <w:szCs w:val="24"/>
        </w:rPr>
        <w:br/>
        <w:t xml:space="preserve">fokozott mértékben szintetizálódott fehérje közömbösítésére.</w:t>
      </w:r>
      <w:r>
        <w:rPr>
          <w:color w:val="000000"/>
          <w:sz w:val="24"/>
          <w:szCs w:val="24"/>
        </w:rPr>
        <w:br/>
        <w:t xml:space="preserve">Célkitűzés: Célunk az volt, hogy a ROP során észlelt retinális vérzés ártatlan</w:t>
      </w:r>
      <w:r>
        <w:rPr>
          <w:color w:val="000000"/>
          <w:sz w:val="24"/>
          <w:szCs w:val="24"/>
        </w:rPr>
        <w:br/>
        <w:t xml:space="preserve">jelenség- e VEGF képződés szempontjából, vagy új rizikó faktorként értékelhető.</w:t>
      </w:r>
      <w:r>
        <w:rPr>
          <w:color w:val="000000"/>
          <w:sz w:val="24"/>
          <w:szCs w:val="24"/>
        </w:rPr>
        <w:br/>
        <w:t xml:space="preserve">Módszerek: Klinikai és laboratóriumi módszereket alkalmaztunk. A DE</w:t>
      </w:r>
      <w:r>
        <w:rPr>
          <w:color w:val="000000"/>
          <w:sz w:val="24"/>
          <w:szCs w:val="24"/>
        </w:rPr>
        <w:br/>
        <w:t xml:space="preserve">Gyermekklinikájának adatbázisát retrospektív analízissel áttekintve 10 év ROP</w:t>
      </w:r>
      <w:r>
        <w:rPr>
          <w:color w:val="000000"/>
          <w:sz w:val="24"/>
          <w:szCs w:val="24"/>
        </w:rPr>
        <w:br/>
        <w:t xml:space="preserve">eseteit gyűjtöttük ki, meghatároztuk az egyes érettségi fokokhoz tartozó ROP</w:t>
      </w:r>
      <w:r>
        <w:rPr>
          <w:color w:val="000000"/>
          <w:sz w:val="24"/>
          <w:szCs w:val="24"/>
        </w:rPr>
        <w:br/>
        <w:t xml:space="preserve">incidenciát. Retinális vérzés alapján 2 csoportra osztottuk és felmértük a két</w:t>
      </w:r>
      <w:r>
        <w:rPr>
          <w:color w:val="000000"/>
          <w:sz w:val="24"/>
          <w:szCs w:val="24"/>
        </w:rPr>
        <w:br/>
        <w:t xml:space="preserve">csoport lézerkezelésének arányát. In vitro modellként retina epiteliális (ARPE)</w:t>
      </w:r>
      <w:r>
        <w:rPr>
          <w:color w:val="000000"/>
          <w:sz w:val="24"/>
          <w:szCs w:val="24"/>
        </w:rPr>
        <w:br/>
        <w:t xml:space="preserve">sejtek VEGF expresszióját vizsgáltunk hem hatására, melynek forrása a vérzéskor</w:t>
      </w:r>
      <w:r>
        <w:rPr>
          <w:color w:val="000000"/>
          <w:sz w:val="24"/>
          <w:szCs w:val="24"/>
        </w:rPr>
        <w:br/>
        <w:t xml:space="preserve">lizált vörösvértest hemoglobinja. Gén- és fehérje szintű vizsgálatokat is végeztünk</w:t>
      </w:r>
      <w:r>
        <w:rPr>
          <w:color w:val="000000"/>
          <w:sz w:val="24"/>
          <w:szCs w:val="24"/>
        </w:rPr>
        <w:br/>
        <w:t xml:space="preserve">(qPCR, ELISA).</w:t>
      </w:r>
      <w:r>
        <w:rPr>
          <w:color w:val="000000"/>
          <w:sz w:val="24"/>
          <w:szCs w:val="24"/>
        </w:rPr>
        <w:br/>
        <w:t xml:space="preserve">Eredmények: 10 év alatt több mint 1000 igen kissúlyú koraszülött (VLBW) adatai</w:t>
      </w:r>
      <w:r>
        <w:rPr>
          <w:color w:val="000000"/>
          <w:sz w:val="24"/>
          <w:szCs w:val="24"/>
        </w:rPr>
        <w:br/>
        <w:t xml:space="preserve">alapján megállítható, hogy a ROP különböző stádiumainak gyakorisága</w:t>
      </w:r>
      <w:r>
        <w:rPr>
          <w:color w:val="000000"/>
          <w:sz w:val="24"/>
          <w:szCs w:val="24"/>
        </w:rPr>
        <w:br/>
        <w:t xml:space="preserve">gyermekklinikánkon megegyezik a nemzetközi adatokkal. Újszülöttkori központi</w:t>
      </w:r>
      <w:r>
        <w:rPr>
          <w:color w:val="000000"/>
          <w:sz w:val="24"/>
          <w:szCs w:val="24"/>
        </w:rPr>
        <w:br/>
        <w:t xml:space="preserve">idegrendszeri országos sebészeti központként működve lehetőségünk volt 460</w:t>
      </w:r>
      <w:r>
        <w:rPr>
          <w:color w:val="000000"/>
          <w:sz w:val="24"/>
          <w:szCs w:val="24"/>
        </w:rPr>
        <w:br/>
        <w:t xml:space="preserve">ROP esett összegyűjtésére, melyet két csoportra osztottunk a retinális vérzés</w:t>
      </w:r>
      <w:r>
        <w:rPr>
          <w:color w:val="000000"/>
          <w:sz w:val="24"/>
          <w:szCs w:val="24"/>
        </w:rPr>
        <w:br/>
        <w:t xml:space="preserve">alapján. Retinális vérzés esetén szignifikánsan nagyobb mértékbe történt lézeres</w:t>
      </w:r>
      <w:r>
        <w:rPr>
          <w:color w:val="000000"/>
          <w:sz w:val="24"/>
          <w:szCs w:val="24"/>
        </w:rPr>
        <w:br/>
        <w:t xml:space="preserve">kezelés. In vitro is igazoltuk, hogy a vérzés fokozza a VEGF termelést. Az ARPE</w:t>
      </w:r>
      <w:r>
        <w:rPr>
          <w:color w:val="000000"/>
          <w:sz w:val="24"/>
          <w:szCs w:val="24"/>
        </w:rPr>
        <w:br/>
        <w:t xml:space="preserve">sejtek a hem jelenlétében dózis- és idő függvényében szignifikánsan emelkedett</w:t>
      </w:r>
      <w:r>
        <w:rPr>
          <w:color w:val="000000"/>
          <w:sz w:val="24"/>
          <w:szCs w:val="24"/>
        </w:rPr>
        <w:br/>
        <w:t xml:space="preserve">VEGF expressziót mutatnak gén és fehérje szinten.</w:t>
      </w:r>
      <w:r>
        <w:rPr>
          <w:color w:val="000000"/>
          <w:sz w:val="24"/>
          <w:szCs w:val="24"/>
        </w:rPr>
        <w:br/>
        <w:t xml:space="preserve">Konklúzió: Eredményeink alapján elmondhatjuk, hogy a hem nem ártatlan</w:t>
      </w:r>
      <w:r>
        <w:rPr>
          <w:color w:val="000000"/>
          <w:sz w:val="24"/>
          <w:szCs w:val="24"/>
        </w:rPr>
        <w:br/>
        <w:t xml:space="preserve">jelenség a ROP progressziójában. A VEGF termelés progresszióján keresztül a</w:t>
      </w:r>
      <w:r>
        <w:rPr>
          <w:color w:val="000000"/>
          <w:sz w:val="24"/>
          <w:szCs w:val="24"/>
        </w:rPr>
        <w:br/>
        <w:t xml:space="preserve">kóros neovaszkulárizációt elősegíti és a lézeres kezelés indikációjában új</w:t>
      </w:r>
      <w:r>
        <w:rPr>
          <w:color w:val="000000"/>
          <w:sz w:val="24"/>
          <w:szCs w:val="24"/>
        </w:rPr>
        <w:br/>
        <w:t xml:space="preserve">rizikófaktorént szerepet játszhat.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607869">
    <w:multiLevelType w:val="hybridMultilevel"/>
    <w:lvl w:ilvl="0" w:tplc="13662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607869">
    <w:abstractNumId w:val="416078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22918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