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HODOSSY-TAKÁCS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hodossy.rebeka@gmail.com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Lóczi 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SARS-CoV-2 mRNS vakcináció hatása a trombin generációra gyulladásos bélbeteg gyermekekben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gyulladásos bélbetegségek (IBD), azaz a Crohn betegség és a colitis ulcerosa (CU) fokozott trombózis rizikóval társulnak. IBD-ben szenvedő felnőttekben a trombin generáció (TG) magas és a betegség aktivitásával párhuzamosan változik. A SARS-CoV-2 mRNS vakcinák klinikai tesztelése során az IBD-ben szenvedő, immunszuprimált betegek alulreprezentáltak voltak. Esettanulmányok alapján az oltás után kialakuló adverz esemény (pl. IBD fellángolás) gyakoribb lehet gyermekekben, különösen COVID-19 fertőzést átvészeltekben.</w:t>
      </w:r>
      <w:r>
        <w:rPr>
          <w:color w:val="000000"/>
          <w:sz w:val="24"/>
          <w:szCs w:val="24"/>
        </w:rPr>
        <w:br/>
        <w:t xml:space="preserve">Célkitűzés. Megvizsgálni, hogy az IBD-ben szenvedő gyermekekben mért TG különbözik-e az egészséges gyermekekétől, valamint megfigyelni a TG változását SARS-CoV-2 mRS vakcináció után.</w:t>
      </w:r>
      <w:r>
        <w:rPr>
          <w:color w:val="000000"/>
          <w:sz w:val="24"/>
          <w:szCs w:val="24"/>
        </w:rPr>
        <w:br/>
        <w:t xml:space="preserve">Betegek és módszerek. A vizsgálatba 37 IBD-ben szenvedő (16 Crohn és 21 CU), és 55 kontroll gyermeket vontunk be. Vérvétel az oltás előtt ill. 2 héttel a második vakcina után történt. A betegség aktivitását a PCDAI ill. a pMayo pontrendszerekkel értékeltük. A vérmintákból gyulladásos laboratóriumi paraméterek, anti-SARS-CoV-2 ellenanyagszint és TG meghatározást végeztünk, a lag time, endogén thrombin potenciál (ETP), peak thrombin paramétereket vizsgálva.</w:t>
      </w:r>
      <w:r>
        <w:rPr>
          <w:color w:val="000000"/>
          <w:sz w:val="24"/>
          <w:szCs w:val="24"/>
        </w:rPr>
        <w:br/>
        <w:t xml:space="preserve">Eredmények. A CRP az IBD-ben szenvedő gyermekekben szignifikánsan magasabb volt a kontrollokhoz képest és erős pozitív korrelációt mutatott az ETP- vel (Crohn: Spearman r=0,700; p=0,003 ill. CU: r=0,501; p=0,020). A TG egyes paraméterei azonban nem mutattak szignifikáns különbséget a betegekben a kontrollokhoz képest egyik vérvételi időpontban sem. A vakcináció hatására egyik csoportban sem változott a TG szignifikánsan. IBD-ben a betegség aktivitása szintén nem változott a vakcináció után, ugyanakkor néhány betegben csökkent mértékű szerokonverzió mutatkozott a kontrollokhoz képest. A COVID-19 átvészelése nem volt hatással a TG paraméterekre.</w:t>
      </w:r>
      <w:r>
        <w:rPr>
          <w:color w:val="000000"/>
          <w:sz w:val="24"/>
          <w:szCs w:val="24"/>
        </w:rPr>
        <w:br/>
        <w:t xml:space="preserve">Konklúzió. Bár a gyulladás mértékével összefüggést mutatott, az IBD-ben szenvedő gyermekekben a TG nem tért el szignifikánsan a kontrolloktól. Az mRNS vakcináció hatására a TG ill. az IBD aktivitása nem változott. Az eredmények növelhetik a vakcinációval szembeni bizalmat, ugyanakkor rávilágítanak a vakcinációt követő csökkent immunválaszra egyes immunszuprimált gyermekekben.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69426">
    <w:multiLevelType w:val="hybridMultilevel"/>
    <w:lvl w:ilvl="0" w:tplc="70088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69426">
    <w:abstractNumId w:val="34069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088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