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SZABÓ SZIMONETTA ILDIKÓ</w:t>
            </w:r>
          </w:p>
          <w:p w:rsidR="00C275A3" w:rsidRDefault="00186641" w:rsidP="00C275A3">
            <w:pPr>
              <w:pStyle w:val="Hallgatokepzes"/>
            </w:pPr>
            <w:r w:rsidRPr="002361E2">
              <w:rPr>
                <w:i/>
              </w:rPr>
              <w:t>sz_szimo@freemail.hu</w:t>
            </w:r>
            <w:r w:rsidRPr="002361E2">
              <w:rPr>
                <w:i/>
              </w:rPr>
              <w:br/>
            </w:r>
            <w:r w:rsidR="00A96AEC">
              <w:t>általános orvos</w:t>
            </w:r>
            <w:r w:rsidR="00A96AEC">
              <w:br/>
            </w:r>
            <w:r w:rsidR="00E77B23">
              <w:t>Osztatlan, 9. félév</w:t>
            </w:r>
          </w:p>
          <w:p w:rsidR="00C265CE" w:rsidRPr="009E5FF1" w:rsidRDefault="00E77B23" w:rsidP="009763E0">
            <w:pPr>
              <w:pStyle w:val="Hallgatointezmeny-kar"/>
              <w:rPr>
                <w:b/>
                <w:caps/>
              </w:rPr>
            </w:pPr>
            <w:r>
              <w:t>Debreceni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Janka Eszter Anna</w:t>
            </w:r>
          </w:p>
          <w:p w:rsidR="00DB4822" w:rsidRDefault="00DB4822" w:rsidP="009763E0">
            <w:pPr>
              <w:pStyle w:val="Konzulensektitulus"/>
            </w:pPr>
            <w:r w:rsidRPr="00DB4822">
              <w:t>tudományos munkatárs, DE ÁOK</w:t>
            </w:r>
          </w:p>
        </w:tc>
      </w:tr>
      <w:tr w:rsidR="00DB4822" w:rsidTr="00DB4822">
        <w:tc>
          <w:tcPr>
            <w:tcW w:w="9854" w:type="dxa"/>
          </w:tcPr>
          <w:p w:rsidR="00DB4822" w:rsidRPr="00DB4822" w:rsidRDefault="00DB4822" w:rsidP="009763E0">
            <w:pPr>
              <w:pStyle w:val="Konzulenseknev"/>
            </w:pPr>
            <w:r w:rsidRPr="00DB4822">
              <w:t>Prof. Dr. Remenyik Éva</w:t>
            </w:r>
          </w:p>
          <w:p w:rsidR="00DB4822" w:rsidRDefault="00DB4822" w:rsidP="009763E0">
            <w:pPr>
              <w:pStyle w:val="Konzulensektitulus"/>
            </w:pPr>
            <w:r w:rsidRPr="00DB4822">
              <w:t>professzor emeritus, DE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Minimális eritéma dózis meghatározása in vivo képalkotó eljárásokkal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ultraibolya B (UVB) felelős a napégésért. Az UVB érzékenység egyéni, ennek számszerűsítésére szolgál a minimális eritéma dózis (MED). A MED az az UVB dózis, amely még szemmel éppen látható bőrgyulladást, eritémát okoz.</w:t>
      </w:r>
      <w:r>
        <w:rPr>
          <w:color w:val="000000"/>
          <w:sz w:val="24"/>
          <w:szCs w:val="24"/>
        </w:rPr>
        <w:br/>
        <w:t xml:space="preserve">Vizsgálatunkban célul tűztük ki, hogy a mindennapi gyakorlatban a vizuális értékeléssel történő MED meghatározását kiegészítjük objektív mérésekkel, amelyet képalkotói eszközök segítségével végzünk el (ANTERA 3D, optikai koherencia tomográfia - (Vivo Sight).</w:t>
      </w:r>
      <w:r>
        <w:rPr>
          <w:color w:val="000000"/>
          <w:sz w:val="24"/>
          <w:szCs w:val="24"/>
        </w:rPr>
        <w:br/>
        <w:t xml:space="preserve">Az önkéntes résztvevők (20 fő) a vizsgálat időtartama alatt (7 nap) napi 2 étrend-kiegészítő kapszulát szedtek. Három alkalommal került a minimális eritéma dózis leolvasásra: 24 órával az első UVB besugárzást követően (kiindulási állapot), 24 órával a 2. UVB besugárzást követően (első étrend-kiegészítő kapszula bevétele), és a 8. napon UVB besugárzást követő 24 órában (egy hétig tartó kapszula szedést után). Az UVB besugárzási idő Fitzpatrick bőrtípus meghatározása után lett megállapítva. Az alanyok 45%-a kapott 20 másodpercnyi vagy attól kevesebb ideig tartó UVB besugárzást, míg 55%-a kapott 20 másodperc feletti besugárzást. Az időbeli függéseket, normál eloszlás esetén ismétléses ANOVA teszt segítségével végeztük el, kiegészítve Tukey post hoc teszttel, míg nem normál eloszlás során Friedman tesztet alkalmaztunk Dunn post hoc teszttel.</w:t>
      </w:r>
      <w:r>
        <w:rPr>
          <w:color w:val="000000"/>
          <w:sz w:val="24"/>
          <w:szCs w:val="24"/>
        </w:rPr>
        <w:br/>
        <w:t xml:space="preserve">A teljes vizsgálati csoportban az utolsó MED a kiindulási állapothoz képest szignifikánsan magasabb volt (p&lt;0,001). A rövidebb idejű besugárzási csoportban a MED időbeli változása hasonlónak bizonyult, mint amikor a teljes vizsgálati populációt elemeztük, azonban a hosszabb idejű besugárzási csoport esetében nem tapasztaltunk szignifikáns különbséget a MED változásában. Képalkotói módszerekkel is megvizsgáltuk az eritéma változást, azonban szignifikáns különbséget sem az ANTERA 3D, sem a VivoSight kamera esetében nem tudtuk kimutatni az időfüggések során, szemben a vizuális értékeléssel.</w:t>
      </w:r>
      <w:r>
        <w:rPr>
          <w:color w:val="000000"/>
          <w:sz w:val="24"/>
          <w:szCs w:val="24"/>
        </w:rPr>
        <w:br/>
        <w:t xml:space="preserve">Az eredményeink alapján azt mondhatjuk el, hogy a MED meghatározása során az alkalmazott képalkotók nem tették precízebbé az értékelést és időigényességük miatt a mindennapi használatban, rutinszerű vizsgálómódszerekként nem javasolhatóak a vizuális értékelés helyett.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266717">
    <w:multiLevelType w:val="hybridMultilevel"/>
    <w:lvl w:ilvl="0" w:tplc="426002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266717">
    <w:abstractNumId w:val="862667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62115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