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CSUTH ANNA RENÁTA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annacsuth@gmail.com</w:t>
            </w:r>
            <w:r w:rsidRPr="002361E2">
              <w:rPr>
                <w:i/>
              </w:rPr>
              <w:br/>
            </w:r>
            <w:r w:rsidR="00A96AEC">
              <w:t>orvosi diagnosztikai analitkus</w:t>
            </w:r>
            <w:r w:rsidR="00A96AEC">
              <w:br/>
            </w:r>
            <w:r w:rsidR="00E77B23">
              <w:t>BSc,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Bagoly Zsuzsa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DE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Tóth Eszter Lilla</w:t>
            </w:r>
          </w:p>
          <w:p w:rsidR="00DB4822" w:rsidRDefault="00DB4822" w:rsidP="009763E0">
            <w:pPr>
              <w:pStyle w:val="Konzulensektitulus"/>
            </w:pPr>
            <w:r w:rsidRPr="00DB4822">
              <w:t>rezidens,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COVID-19 asszociált koagulopathia vizsgálata terhességben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Bevezetés. A COVID-19 megbetegedést okozó koronavírus (SARS-CoV-2) fertőzés jelentősen befolyásolja a hemosztázis egyensúlyát, növelve a trombózis rizikót. Jelenleg kevés tanulmány áll rendelkezésünkre a COVID-19 asszociált koagulopathia kialakulásáról, mértékéről várandósokban.</w:t>
      </w:r>
      <w:r>
        <w:rPr>
          <w:color w:val="000000"/>
          <w:sz w:val="24"/>
          <w:szCs w:val="24"/>
        </w:rPr>
        <w:br/>
        <w:t xml:space="preserve">Célkitűzés. Megvizsgálni igazoltan SARS-CoV-2 fertőzött gravidákban a COVID-19 asszociált koagulopathia hemosztázis markereit, és az eredményeket összevetni egészséges, korban és terhességi hétben illesztett várandósok eredményeivel.</w:t>
      </w:r>
      <w:r>
        <w:rPr>
          <w:color w:val="000000"/>
          <w:sz w:val="24"/>
          <w:szCs w:val="24"/>
        </w:rPr>
        <w:br/>
        <w:t xml:space="preserve">Betegek és módszerek. Obszervációs eset-kontroll tanulmányunkba 40 igazolt COVID-19 fertőzött (COVID-19+) 36-40. gesztációs hétben járó és 40 korban és terhességi hétben illesztett egészséges várandós (COVID-19-) került beválogatásra. Valamennyi gravida legfeljebb enyhe légúti tünetekkel rendelkezett felvételkor. A vérmintákból a rutin laboratóriumi vizsgálatok mellett speciális hemosztázis vizsgálatokat, úgymint D-dimer, fibrinogén, von Willebrand faktor antigén, FVIII és FXIII aktivitás, alvadék-lízis, trombin generáció és SARS- CoV-2 ellenanyag szint meghatározását is elvégeztük.</w:t>
      </w:r>
      <w:r>
        <w:rPr>
          <w:color w:val="000000"/>
          <w:sz w:val="24"/>
          <w:szCs w:val="24"/>
        </w:rPr>
        <w:br/>
        <w:t xml:space="preserve">Eredmények. A COVID-19+ csoportban az APTI szignifikáns megnyúlása volt megfigyelhető a kontroll gravidákhoz képest (COVID-19+ medián: 26,2 [IQR:24,4-29,5] sec. vs. COVID-19-: 24,6 [IQR:23,3-25,4] sec. p=0,003). A COVID-19+ csoportban a FVIII aktivitás szignifikánsan alacsonyabb volt (COVID-19+ átlag: 183,7±47,7 % vs. COVID-19-: 226,7±62,5 %, p= 0,01). A COVID19+ gravidák szignifikánsan alacsonyabb FXIII aktivitás szintekkel rendelkeztek a kontrollokhoz képest (COVID-19+ átlag: 82,3±23,5 % vs. COVID- 19-: 96,2 ±26,6 %, p= 0,04). Az egyéb vizsgált speciális hemosztázis tényezők nem mutattak eltérést a csoportok között. Terhességi komplikáció két COVID-19+ gravida esetében alakult ki, jelentős koaguláció aktivációval és fibrinolízis diszregulációval társultan.</w:t>
      </w:r>
      <w:r>
        <w:rPr>
          <w:color w:val="000000"/>
          <w:sz w:val="24"/>
          <w:szCs w:val="24"/>
        </w:rPr>
        <w:br/>
        <w:t xml:space="preserve">Konklúzió. A vizsgált kohorszban a SARS-CoV-2 fertőzés a FVIII és a FXIII aktivitás csökkenésével társult, melynek hátterében a hemosztázis diszregulációja, esetleg konszumpció állhat. SARS-CoV-2 fertőzés esetén a hemosztázis egyensúlyának jelentős felborulása a terhesség lefolyásának klinikai szövődményeivel társulhat.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0111257">
    <w:multiLevelType w:val="hybridMultilevel"/>
    <w:lvl w:ilvl="0" w:tplc="177850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0111257">
    <w:abstractNumId w:val="7011125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3554543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