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SIGUIN CARMINA</w:t>
            </w:r>
          </w:p>
          <w:p w:rsidR="00C275A3" w:rsidRDefault="00186641" w:rsidP="00C275A3">
            <w:pPr>
              <w:pStyle w:val="Hallgatokepzes"/>
            </w:pPr>
            <w:r w:rsidRPr="002361E2">
              <w:rPr>
                <w:i/>
              </w:rPr>
              <w:t>carminapsiguin@gmail.com</w:t>
            </w:r>
            <w:r w:rsidRPr="002361E2">
              <w:rPr>
                <w:i/>
              </w:rPr>
              <w:br/>
            </w:r>
            <w:r w:rsidR="00A96AEC">
              <w:t>népegészségügyi felügyelö</w:t>
            </w:r>
            <w:r w:rsidR="00A96AEC">
              <w:br/>
            </w:r>
            <w:r w:rsidR="00E77B23">
              <w:t>MSc, 1. félév</w:t>
            </w:r>
          </w:p>
          <w:p w:rsidR="00C265CE" w:rsidRPr="009E5FF1" w:rsidRDefault="00E77B23" w:rsidP="009763E0">
            <w:pPr>
              <w:pStyle w:val="Hallgatointezmeny-kar"/>
              <w:rPr>
                <w:b/>
                <w:caps/>
              </w:rPr>
            </w:pPr>
            <w:r>
              <w:t>Debreceni Egyetem</w:t>
            </w:r>
            <w:r w:rsidR="00C275A3">
              <w:br/>
            </w:r>
            <w:r w:rsidR="00DB4822">
              <w:t>Népegészségügyi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Emilia Zsanda</w:t>
            </w:r>
          </w:p>
          <w:p w:rsidR="00DB4822" w:rsidRDefault="00DB4822" w:rsidP="009763E0">
            <w:pPr>
              <w:pStyle w:val="Konzulensektitulus"/>
            </w:pPr>
            <w:r w:rsidRPr="00DB4822">
              <w:t>PhD hallgató, DE ETK</w:t>
            </w:r>
          </w:p>
        </w:tc>
      </w:tr>
      <w:tr w:rsidR="00DB4822" w:rsidTr="00DB4822">
        <w:tc>
          <w:tcPr>
            <w:tcW w:w="9854" w:type="dxa"/>
          </w:tcPr>
          <w:p w:rsidR="00DB4822" w:rsidRPr="00DB4822" w:rsidRDefault="00DB4822" w:rsidP="009763E0">
            <w:pPr>
              <w:pStyle w:val="Konzulenseknev"/>
            </w:pPr>
            <w:r w:rsidRPr="00DB4822">
              <w:t>Nguyen Minh Chau</w:t>
            </w:r>
          </w:p>
          <w:p w:rsidR="00DB4822" w:rsidRDefault="00DB4822" w:rsidP="009763E0">
            <w:pPr>
              <w:pStyle w:val="Konzulensektitulus"/>
            </w:pPr>
            <w:r w:rsidRPr="00DB4822">
              <w:t>kutató,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Tápláltsági állapot, táplálkozási ismeretek és élelmiszer hozzáférhetőség vizsgálat a Fülöp-szigeteki gyerekek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 undernutrition has been a major global public health issue for years and one of the common public health concerns in the Philippines. Numerous studies have indicated that parent nutrition education and household food access are two of the many critical factors influencing child malnutrition.</w:t>
      </w:r>
      <w:r>
        <w:rPr>
          <w:color w:val="000000"/>
          <w:sz w:val="24"/>
          <w:szCs w:val="24"/>
        </w:rPr>
        <w:br/>
        <w:t xml:space="preserve">Hence, this study aims to analyze the parents’ sociodemographic profile and its relation to their nutrition awareness, household food insecurity, and child nutritional status.</w:t>
      </w:r>
      <w:r>
        <w:rPr>
          <w:color w:val="000000"/>
          <w:sz w:val="24"/>
          <w:szCs w:val="24"/>
        </w:rPr>
        <w:br/>
        <w:t xml:space="preserve">This study is a part of a research project where feeding program beneficiaries were randomly sampled from 60 schools in the Philippines. Selected samples were matched with non-beneficiaries of the same gender and grade level. 292 parents were interviewed for their socio-demographic profile, undernutrition awareness, household food insecurity, and their children’s food intake. Undernutrition awareness was measured using the Food and Agriculture Organization (FAO) reference. Three-day (two weekdays, one weekend) food intake of the child was taken using the 24-food-recall method. Finally, multivariate logistic regression modelling was used to assess the relation between variables.</w:t>
      </w:r>
      <w:r>
        <w:rPr>
          <w:color w:val="000000"/>
          <w:sz w:val="24"/>
          <w:szCs w:val="24"/>
        </w:rPr>
        <w:br/>
        <w:t xml:space="preserve">Results showed that nutrition awareness, food insecurity, and child nutritional status are highly influenced by living location and parents’ education. Parents who live in remote areas or did not finish high school were shown to be less knowledgeable about nutrition (p=0.002;0.003 respectively) and are highly likely to experience food insecurity (p=0.020; 0.006 respectively). Children living in remote locations (p=0.038) or with unemployed parents (p=0.001) are more at risk of protein inadequacy. Location also affects micronutrient intake, such as calcium (p=0.038), iron (p=0.035) and vitamin C (p=0.005). Children who have only one parent (p=0.006) or whose parents did not graduate from high school (p=0.010) are likely to be wasted/severely wasted.</w:t>
      </w:r>
      <w:r>
        <w:rPr>
          <w:color w:val="000000"/>
          <w:sz w:val="24"/>
          <w:szCs w:val="24"/>
        </w:rPr>
        <w:br/>
        <w:t xml:space="preserve">The study concludes that multipronged initiatives targeting both children and parents are required to reduce undernutrition cases in the Philippines. Nutrition interventions should also emphasize literacy, access to food and health services, and the employment of parents.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24545">
    <w:multiLevelType w:val="hybridMultilevel"/>
    <w:lvl w:ilvl="0" w:tplc="22022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24545">
    <w:abstractNumId w:val="64024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557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