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ANNA SZABÓ</w:t>
            </w:r>
          </w:p>
          <w:p w:rsidR="00C275A3" w:rsidRDefault="00186641" w:rsidP="00C275A3">
            <w:pPr>
              <w:pStyle w:val="Hallgatokepzes"/>
            </w:pPr>
            <w:r w:rsidRPr="002361E2">
              <w:rPr>
                <w:i/>
              </w:rPr>
              <w:t>szabodotti@gmail.com</w:t>
            </w:r>
            <w:r w:rsidRPr="002361E2">
              <w:rPr>
                <w:i/>
              </w:rPr>
              <w:br/>
            </w:r>
            <w:r w:rsidR="00A96AEC">
              <w:t>managament and leadership</w:t>
            </w:r>
            <w:r w:rsidR="00A96AEC">
              <w:br/>
            </w:r>
            <w:r w:rsidR="00E77B23">
              <w:t>MSc, 2.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Norbert Sipos</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differences for recent graduates in different types of funding for undergraduate education - by analysing the data of Hungarian Graduate Career Tracking System -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investigated whether there is a difference in the selected factors between students enrolled in different forms of funding during their bachelor's degree and whether the form of funding impacts the decision to continue their studies.</w:t>
      </w:r>
    </w:p>
    <w:p>
      <w:pPr>
        <w:widowControl w:val="on"/>
        <w:pBdr/>
        <w:spacing w:before="240" w:after="240" w:line="240" w:lineRule="auto"/>
        <w:ind w:left="0" w:right="0"/>
        <w:jc w:val="left"/>
      </w:pPr>
      <w:r>
        <w:rPr>
          <w:color w:val="000000"/>
          <w:sz w:val="24"/>
          <w:szCs w:val="24"/>
        </w:rPr>
        <w:t xml:space="preserve">The value of human capital can be defined as the productive capacity and knowledge of individuals, and its availability can determine the social and economic development of both individuals and a country. The most common way to invest in human capital is through participation in education, of which higher education is a part. On the one hand, it is financed by the state, but one of the aims of the ongoing changes in the university model is to give higher education institutions a greater role in autonomous management. In addition, students also pay for their participation in education, and tuition fees can be a significant cost if they are self-financed. The cost of investing in human capital is, therefore, very different for the two forms of financing.</w:t>
      </w:r>
    </w:p>
    <w:p>
      <w:pPr>
        <w:widowControl w:val="on"/>
        <w:pBdr/>
        <w:spacing w:before="240" w:after="240" w:line="240" w:lineRule="auto"/>
        <w:ind w:left="0" w:right="0"/>
        <w:jc w:val="left"/>
      </w:pPr>
      <w:r>
        <w:rPr>
          <w:color w:val="000000"/>
          <w:sz w:val="24"/>
          <w:szCs w:val="24"/>
        </w:rPr>
        <w:t xml:space="preserve">With this in mind, I used the databases between 2011-2018 of the Hungarian Graduate Career Tracking System (GCTS) to see whether there are differences in the course of their studies and in their further education decisions between undergraduate students who studied under different forms of financing. The cross-tabulation analysis shows a weak but significant relationship between the form of financing and the semesters spent abroad, student loan borrowing patterns, and whether the individual considered him/herself more of a full-time student or a worker during the university years.</w:t>
      </w:r>
      <w:r>
        <w:rPr>
          <w:color w:val="000000"/>
          <w:sz w:val="24"/>
          <w:szCs w:val="24"/>
        </w:rPr>
        <w:br/>
        <w:t xml:space="preserve">Using the binary logistic regression method, I created two three-stage regression models, using as dependent variables first the design of the master's programme (M1) and then the implementation of the master's programme (M2). Selected study factors (M1a, M2a) were included in the models first, followed by additional sociodemographic (M1b, M2b) and labour market factors (M1c, M2c). For the two extended models, the form of financing was found to be significant for the planning of a master's degree, with publicly financed students being 0.9 times more likely to plan to continue their studies. For the M2 models (explanatory power 29.9-60.9%), the role of the form of funding is significant throughout, and the odds ratio value suggests that students with public scholarships are 1.648-1.364 times more likely to pursue a master's degree compared to those with self-funding.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61852">
    <w:multiLevelType w:val="hybridMultilevel"/>
    <w:lvl w:ilvl="0" w:tplc="59669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61852">
    <w:abstractNumId w:val="31761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866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